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54983" w14:textId="77777777" w:rsidR="00064124" w:rsidRPr="003F59B3" w:rsidRDefault="00064124" w:rsidP="00064124">
      <w:pPr>
        <w:spacing w:after="0"/>
        <w:jc w:val="center"/>
        <w:rPr>
          <w:rFonts w:cs="Arial"/>
          <w:b/>
          <w:bCs/>
        </w:rPr>
      </w:pPr>
      <w:r w:rsidRPr="003F59B3">
        <w:rPr>
          <w:rFonts w:cs="Arial"/>
          <w:b/>
          <w:bCs/>
        </w:rPr>
        <w:t>Middle Tennessee Grand Division Meeting</w:t>
      </w:r>
    </w:p>
    <w:p w14:paraId="4F320AD8" w14:textId="77777777" w:rsidR="00064124" w:rsidRDefault="00064124" w:rsidP="00064124">
      <w:pPr>
        <w:spacing w:after="0"/>
        <w:jc w:val="center"/>
        <w:rPr>
          <w:rFonts w:cs="Arial"/>
        </w:rPr>
      </w:pPr>
      <w:r w:rsidRPr="001F161E">
        <w:rPr>
          <w:rFonts w:cs="Arial"/>
        </w:rPr>
        <w:t xml:space="preserve">April </w:t>
      </w:r>
      <w:r>
        <w:rPr>
          <w:rFonts w:cs="Arial"/>
        </w:rPr>
        <w:t>8</w:t>
      </w:r>
      <w:r w:rsidRPr="001F161E">
        <w:rPr>
          <w:rFonts w:cs="Arial"/>
        </w:rPr>
        <w:t>, 202</w:t>
      </w:r>
      <w:r>
        <w:rPr>
          <w:rFonts w:cs="Arial"/>
        </w:rPr>
        <w:t>6</w:t>
      </w:r>
    </w:p>
    <w:p w14:paraId="4DD6DBA8" w14:textId="77777777" w:rsidR="00064124" w:rsidRDefault="00064124" w:rsidP="00064124">
      <w:pPr>
        <w:spacing w:after="0"/>
        <w:jc w:val="center"/>
        <w:rPr>
          <w:rFonts w:cs="Arial"/>
        </w:rPr>
      </w:pPr>
      <w:r>
        <w:rPr>
          <w:rFonts w:cs="Arial"/>
        </w:rPr>
        <w:t>MTSU, Tom Jackson Building</w:t>
      </w:r>
    </w:p>
    <w:p w14:paraId="42CE000A" w14:textId="042DAC9A" w:rsidR="00064124" w:rsidRPr="001F161E" w:rsidRDefault="00064124" w:rsidP="00064124">
      <w:pPr>
        <w:spacing w:after="0"/>
        <w:jc w:val="center"/>
        <w:rPr>
          <w:rFonts w:cs="Arial"/>
        </w:rPr>
      </w:pPr>
      <w:r>
        <w:rPr>
          <w:rFonts w:cs="Arial"/>
        </w:rPr>
        <w:t>8:00am – 4:00pm</w:t>
      </w:r>
    </w:p>
    <w:p w14:paraId="46B5980B" w14:textId="77777777" w:rsidR="00064124" w:rsidRPr="001F161E" w:rsidRDefault="00064124" w:rsidP="00064124">
      <w:pPr>
        <w:spacing w:after="0"/>
        <w:jc w:val="center"/>
      </w:pPr>
    </w:p>
    <w:tbl>
      <w:tblPr>
        <w:tblStyle w:val="TableGrid"/>
        <w:tblW w:w="10885" w:type="dxa"/>
        <w:tblLook w:val="04A0" w:firstRow="1" w:lastRow="0" w:firstColumn="1" w:lastColumn="0" w:noHBand="0" w:noVBand="1"/>
      </w:tblPr>
      <w:tblGrid>
        <w:gridCol w:w="3055"/>
        <w:gridCol w:w="3870"/>
        <w:gridCol w:w="3960"/>
      </w:tblGrid>
      <w:tr w:rsidR="00064124" w:rsidRPr="001F161E" w14:paraId="3D78C875" w14:textId="77777777" w:rsidTr="00811E4F">
        <w:tc>
          <w:tcPr>
            <w:tcW w:w="3055" w:type="dxa"/>
            <w:shd w:val="clear" w:color="auto" w:fill="E8E8E8" w:themeFill="background2"/>
          </w:tcPr>
          <w:p w14:paraId="3F96B9EF" w14:textId="77777777" w:rsidR="00064124" w:rsidRPr="001F161E" w:rsidRDefault="00064124" w:rsidP="0078305B">
            <w:pPr>
              <w:jc w:val="center"/>
              <w:rPr>
                <w:rFonts w:cs="Arial"/>
              </w:rPr>
            </w:pPr>
            <w:r w:rsidRPr="001F161E">
              <w:rPr>
                <w:rFonts w:cs="Arial"/>
              </w:rPr>
              <w:t>Time</w:t>
            </w:r>
          </w:p>
        </w:tc>
        <w:tc>
          <w:tcPr>
            <w:tcW w:w="3870" w:type="dxa"/>
            <w:shd w:val="clear" w:color="auto" w:fill="E8E8E8" w:themeFill="background2"/>
          </w:tcPr>
          <w:p w14:paraId="1467DACC" w14:textId="77777777" w:rsidR="00064124" w:rsidRPr="001F161E" w:rsidRDefault="00064124" w:rsidP="0078305B">
            <w:pPr>
              <w:jc w:val="center"/>
              <w:rPr>
                <w:rFonts w:cs="Arial"/>
              </w:rPr>
            </w:pPr>
            <w:r w:rsidRPr="001F161E">
              <w:rPr>
                <w:rFonts w:cs="Arial"/>
              </w:rPr>
              <w:t>Topic</w:t>
            </w:r>
          </w:p>
        </w:tc>
        <w:tc>
          <w:tcPr>
            <w:tcW w:w="3960" w:type="dxa"/>
            <w:shd w:val="clear" w:color="auto" w:fill="E8E8E8" w:themeFill="background2"/>
          </w:tcPr>
          <w:p w14:paraId="6F4176D5" w14:textId="77777777" w:rsidR="00064124" w:rsidRPr="001F161E" w:rsidRDefault="00064124" w:rsidP="0078305B">
            <w:pPr>
              <w:jc w:val="center"/>
              <w:rPr>
                <w:rFonts w:cs="Arial"/>
              </w:rPr>
            </w:pPr>
            <w:r w:rsidRPr="001F161E">
              <w:rPr>
                <w:rFonts w:cs="Arial"/>
              </w:rPr>
              <w:t>Presenter</w:t>
            </w:r>
          </w:p>
        </w:tc>
      </w:tr>
      <w:tr w:rsidR="00064124" w:rsidRPr="001F161E" w14:paraId="1099858F" w14:textId="77777777" w:rsidTr="00811E4F">
        <w:tc>
          <w:tcPr>
            <w:tcW w:w="3055" w:type="dxa"/>
            <w:vAlign w:val="center"/>
          </w:tcPr>
          <w:p w14:paraId="5DAF0CBD" w14:textId="77777777" w:rsidR="00064124" w:rsidRDefault="00064124" w:rsidP="0078305B">
            <w:pPr>
              <w:jc w:val="center"/>
              <w:rPr>
                <w:rFonts w:cs="Arial"/>
              </w:rPr>
            </w:pPr>
          </w:p>
          <w:p w14:paraId="1F889F81" w14:textId="77777777" w:rsidR="00064124" w:rsidRDefault="00064124" w:rsidP="0078305B">
            <w:pPr>
              <w:jc w:val="center"/>
              <w:rPr>
                <w:rFonts w:cs="Arial"/>
              </w:rPr>
            </w:pPr>
            <w:r w:rsidRPr="001F161E">
              <w:rPr>
                <w:rFonts w:cs="Arial"/>
              </w:rPr>
              <w:t>8:00 am – 9:00 am</w:t>
            </w:r>
          </w:p>
          <w:p w14:paraId="575BE078" w14:textId="77777777" w:rsidR="00064124" w:rsidRPr="001F161E" w:rsidRDefault="00064124" w:rsidP="0078305B">
            <w:pPr>
              <w:jc w:val="center"/>
              <w:rPr>
                <w:rFonts w:cs="Arial"/>
              </w:rPr>
            </w:pPr>
          </w:p>
        </w:tc>
        <w:tc>
          <w:tcPr>
            <w:tcW w:w="3870" w:type="dxa"/>
            <w:vAlign w:val="center"/>
          </w:tcPr>
          <w:p w14:paraId="7ABF35CE" w14:textId="77777777" w:rsidR="00064124" w:rsidRPr="001F161E" w:rsidRDefault="00064124" w:rsidP="0078305B">
            <w:pPr>
              <w:jc w:val="center"/>
              <w:rPr>
                <w:rFonts w:cs="Arial"/>
              </w:rPr>
            </w:pPr>
            <w:r w:rsidRPr="001F161E">
              <w:rPr>
                <w:rFonts w:cs="Arial"/>
              </w:rPr>
              <w:t>Registration</w:t>
            </w:r>
          </w:p>
        </w:tc>
        <w:tc>
          <w:tcPr>
            <w:tcW w:w="3960" w:type="dxa"/>
            <w:vAlign w:val="center"/>
          </w:tcPr>
          <w:p w14:paraId="1480145A" w14:textId="77777777" w:rsidR="00064124" w:rsidRPr="001F161E" w:rsidRDefault="00064124" w:rsidP="0078305B">
            <w:pPr>
              <w:jc w:val="center"/>
              <w:rPr>
                <w:rFonts w:cs="Arial"/>
              </w:rPr>
            </w:pPr>
          </w:p>
        </w:tc>
      </w:tr>
      <w:tr w:rsidR="00064124" w:rsidRPr="001F161E" w14:paraId="6C74782C" w14:textId="77777777" w:rsidTr="00811E4F">
        <w:tc>
          <w:tcPr>
            <w:tcW w:w="3055" w:type="dxa"/>
            <w:vAlign w:val="center"/>
          </w:tcPr>
          <w:p w14:paraId="6CA56FA6" w14:textId="01FA7F2B" w:rsidR="00064124" w:rsidRPr="001F161E" w:rsidRDefault="00064124" w:rsidP="0078305B">
            <w:pPr>
              <w:jc w:val="center"/>
              <w:rPr>
                <w:rFonts w:cs="Arial"/>
              </w:rPr>
            </w:pPr>
            <w:r w:rsidRPr="001F161E">
              <w:rPr>
                <w:rFonts w:cs="Arial"/>
              </w:rPr>
              <w:t>8:45 am – 9:00 am</w:t>
            </w:r>
            <w:r w:rsidR="008D7E03">
              <w:rPr>
                <w:rFonts w:cs="Arial"/>
              </w:rPr>
              <w:t xml:space="preserve"> (15 min)</w:t>
            </w:r>
          </w:p>
        </w:tc>
        <w:tc>
          <w:tcPr>
            <w:tcW w:w="3870" w:type="dxa"/>
            <w:vAlign w:val="center"/>
          </w:tcPr>
          <w:p w14:paraId="21B9360F" w14:textId="77777777" w:rsidR="00064124" w:rsidRPr="001F161E" w:rsidRDefault="00064124" w:rsidP="0078305B">
            <w:pPr>
              <w:jc w:val="center"/>
              <w:rPr>
                <w:rFonts w:cs="Arial"/>
              </w:rPr>
            </w:pPr>
            <w:r w:rsidRPr="001F161E">
              <w:rPr>
                <w:rFonts w:cs="Arial"/>
              </w:rPr>
              <w:t>Welcome</w:t>
            </w:r>
          </w:p>
        </w:tc>
        <w:tc>
          <w:tcPr>
            <w:tcW w:w="3960" w:type="dxa"/>
            <w:vAlign w:val="center"/>
          </w:tcPr>
          <w:p w14:paraId="1C00DFFD" w14:textId="77777777" w:rsidR="006F3471" w:rsidRDefault="006F3471" w:rsidP="0078305B">
            <w:pPr>
              <w:jc w:val="center"/>
              <w:rPr>
                <w:rFonts w:cs="Arial"/>
                <w:b/>
                <w:bCs/>
              </w:rPr>
            </w:pPr>
          </w:p>
          <w:p w14:paraId="595B8F93" w14:textId="3889DD70" w:rsidR="00064124" w:rsidRPr="00064124" w:rsidRDefault="00064124" w:rsidP="0078305B">
            <w:pPr>
              <w:jc w:val="center"/>
              <w:rPr>
                <w:rFonts w:cs="Arial"/>
                <w:b/>
                <w:bCs/>
              </w:rPr>
            </w:pPr>
            <w:r w:rsidRPr="00064124">
              <w:rPr>
                <w:rFonts w:cs="Arial"/>
                <w:b/>
                <w:bCs/>
              </w:rPr>
              <w:t>Shatonia Kenion</w:t>
            </w:r>
          </w:p>
          <w:p w14:paraId="289FE819" w14:textId="77777777" w:rsidR="00064124" w:rsidRDefault="00064124" w:rsidP="0078305B">
            <w:pPr>
              <w:jc w:val="center"/>
              <w:rPr>
                <w:rFonts w:cs="Arial"/>
              </w:rPr>
            </w:pPr>
            <w:r w:rsidRPr="001F161E">
              <w:rPr>
                <w:rFonts w:cs="Arial"/>
              </w:rPr>
              <w:t>TPHA Middle TN Vice-President</w:t>
            </w:r>
          </w:p>
          <w:p w14:paraId="4035D68B" w14:textId="77777777" w:rsidR="00064124" w:rsidRPr="001F161E" w:rsidRDefault="00064124" w:rsidP="006F3471">
            <w:pPr>
              <w:rPr>
                <w:rFonts w:cs="Arial"/>
              </w:rPr>
            </w:pPr>
          </w:p>
        </w:tc>
      </w:tr>
      <w:tr w:rsidR="00064124" w:rsidRPr="001F161E" w14:paraId="73172BB3" w14:textId="77777777" w:rsidTr="00811E4F">
        <w:tc>
          <w:tcPr>
            <w:tcW w:w="3055" w:type="dxa"/>
            <w:vAlign w:val="center"/>
          </w:tcPr>
          <w:p w14:paraId="4B331C7B" w14:textId="77777777" w:rsidR="00064124" w:rsidRDefault="00064124" w:rsidP="0078305B">
            <w:pPr>
              <w:jc w:val="center"/>
              <w:rPr>
                <w:rFonts w:cs="Arial"/>
              </w:rPr>
            </w:pPr>
          </w:p>
          <w:p w14:paraId="02D87520" w14:textId="77777777" w:rsidR="00064124" w:rsidRDefault="00064124" w:rsidP="0078305B">
            <w:pPr>
              <w:jc w:val="center"/>
              <w:rPr>
                <w:rFonts w:cs="Arial"/>
              </w:rPr>
            </w:pPr>
          </w:p>
          <w:p w14:paraId="45120951" w14:textId="08F0BF2D" w:rsidR="00064124" w:rsidRDefault="00064124" w:rsidP="0078305B">
            <w:pPr>
              <w:jc w:val="center"/>
              <w:rPr>
                <w:rFonts w:cs="Arial"/>
              </w:rPr>
            </w:pPr>
            <w:r w:rsidRPr="001F161E">
              <w:rPr>
                <w:rFonts w:cs="Arial"/>
              </w:rPr>
              <w:t>9:00 am – 10:00 am</w:t>
            </w:r>
            <w:r w:rsidR="008D7E03">
              <w:rPr>
                <w:rFonts w:cs="Arial"/>
              </w:rPr>
              <w:t xml:space="preserve"> (1hr)</w:t>
            </w:r>
          </w:p>
          <w:p w14:paraId="5FFC4736" w14:textId="77777777" w:rsidR="00064124" w:rsidRDefault="00064124" w:rsidP="0078305B">
            <w:pPr>
              <w:jc w:val="center"/>
              <w:rPr>
                <w:rFonts w:cs="Arial"/>
              </w:rPr>
            </w:pPr>
          </w:p>
          <w:p w14:paraId="6C44CAD7" w14:textId="77777777" w:rsidR="00064124" w:rsidRPr="001F161E" w:rsidRDefault="00064124" w:rsidP="0078305B">
            <w:pPr>
              <w:jc w:val="center"/>
              <w:rPr>
                <w:rFonts w:cs="Arial"/>
              </w:rPr>
            </w:pPr>
          </w:p>
        </w:tc>
        <w:tc>
          <w:tcPr>
            <w:tcW w:w="3870" w:type="dxa"/>
            <w:vAlign w:val="center"/>
          </w:tcPr>
          <w:p w14:paraId="26268D59" w14:textId="77777777" w:rsidR="00064124" w:rsidRPr="00515DC1" w:rsidRDefault="00064124" w:rsidP="0078305B">
            <w:pPr>
              <w:jc w:val="center"/>
              <w:rPr>
                <w:rFonts w:cs="Arial"/>
                <w:b/>
                <w:bCs/>
              </w:rPr>
            </w:pPr>
            <w:r w:rsidRPr="00515DC1">
              <w:rPr>
                <w:rFonts w:cs="Arial"/>
                <w:b/>
                <w:bCs/>
              </w:rPr>
              <w:t>From Feedback to Action</w:t>
            </w:r>
          </w:p>
          <w:p w14:paraId="300950E5" w14:textId="7FF35ED4" w:rsidR="00064124" w:rsidRPr="001F161E" w:rsidRDefault="00064124" w:rsidP="0078305B">
            <w:pPr>
              <w:jc w:val="center"/>
              <w:rPr>
                <w:rFonts w:cs="Arial"/>
              </w:rPr>
            </w:pPr>
          </w:p>
        </w:tc>
        <w:tc>
          <w:tcPr>
            <w:tcW w:w="3960" w:type="dxa"/>
            <w:vAlign w:val="center"/>
          </w:tcPr>
          <w:p w14:paraId="7071388E" w14:textId="1E55C34F" w:rsidR="00064124" w:rsidRPr="00064124" w:rsidRDefault="00064124" w:rsidP="0078305B">
            <w:pPr>
              <w:jc w:val="center"/>
              <w:rPr>
                <w:rFonts w:cs="Arial"/>
                <w:b/>
                <w:bCs/>
              </w:rPr>
            </w:pPr>
            <w:r w:rsidRPr="00064124">
              <w:rPr>
                <w:rFonts w:cs="Arial"/>
                <w:b/>
                <w:bCs/>
              </w:rPr>
              <w:t>Shatonia Kenion</w:t>
            </w:r>
            <w:r w:rsidR="006F3471">
              <w:rPr>
                <w:rFonts w:cs="Arial"/>
                <w:b/>
                <w:bCs/>
              </w:rPr>
              <w:t xml:space="preserve"> &amp; Kaysi Paul</w:t>
            </w:r>
          </w:p>
          <w:p w14:paraId="34105EF2" w14:textId="4C50CED8" w:rsidR="00064124" w:rsidRPr="001F161E" w:rsidRDefault="00064124" w:rsidP="006F3471">
            <w:pPr>
              <w:jc w:val="center"/>
              <w:rPr>
                <w:rFonts w:cs="Arial"/>
              </w:rPr>
            </w:pPr>
            <w:r w:rsidRPr="001F161E">
              <w:rPr>
                <w:rFonts w:cs="Arial"/>
              </w:rPr>
              <w:t>TPHA Middle TN Vice-President</w:t>
            </w:r>
            <w:r w:rsidR="006F3471">
              <w:rPr>
                <w:rFonts w:cs="Arial"/>
              </w:rPr>
              <w:t xml:space="preserve"> &amp; </w:t>
            </w:r>
            <w:r w:rsidR="006F3471" w:rsidRPr="001F161E">
              <w:rPr>
                <w:rFonts w:cs="Arial"/>
              </w:rPr>
              <w:t>Vice President-elect</w:t>
            </w:r>
          </w:p>
        </w:tc>
      </w:tr>
      <w:tr w:rsidR="00064124" w:rsidRPr="001F161E" w14:paraId="01065BE3" w14:textId="77777777" w:rsidTr="00811E4F">
        <w:tc>
          <w:tcPr>
            <w:tcW w:w="3055" w:type="dxa"/>
            <w:vAlign w:val="center"/>
          </w:tcPr>
          <w:p w14:paraId="5AF45E4C" w14:textId="681C6AC3" w:rsidR="00064124" w:rsidRPr="001F161E" w:rsidRDefault="00064124" w:rsidP="0078305B">
            <w:pPr>
              <w:jc w:val="center"/>
              <w:rPr>
                <w:rFonts w:cs="Arial"/>
              </w:rPr>
            </w:pPr>
            <w:r w:rsidRPr="001F161E">
              <w:rPr>
                <w:rFonts w:cs="Arial"/>
              </w:rPr>
              <w:t>10:00 am – 1</w:t>
            </w:r>
            <w:r>
              <w:rPr>
                <w:rFonts w:cs="Arial"/>
              </w:rPr>
              <w:t>1:00</w:t>
            </w:r>
            <w:r w:rsidRPr="001F161E">
              <w:rPr>
                <w:rFonts w:cs="Arial"/>
              </w:rPr>
              <w:t xml:space="preserve"> </w:t>
            </w:r>
            <w:r>
              <w:rPr>
                <w:rFonts w:cs="Arial"/>
              </w:rPr>
              <w:t>a</w:t>
            </w:r>
            <w:r w:rsidRPr="001F161E">
              <w:rPr>
                <w:rFonts w:cs="Arial"/>
              </w:rPr>
              <w:t>m</w:t>
            </w:r>
            <w:r w:rsidR="008D7E03">
              <w:rPr>
                <w:rFonts w:cs="Arial"/>
              </w:rPr>
              <w:t xml:space="preserve"> (1hr)</w:t>
            </w:r>
          </w:p>
        </w:tc>
        <w:tc>
          <w:tcPr>
            <w:tcW w:w="3870" w:type="dxa"/>
            <w:vAlign w:val="center"/>
          </w:tcPr>
          <w:p w14:paraId="6BD27594" w14:textId="77777777" w:rsidR="00064124" w:rsidRDefault="00064124" w:rsidP="0078305B">
            <w:pPr>
              <w:jc w:val="center"/>
              <w:rPr>
                <w:rFonts w:cs="Arial"/>
              </w:rPr>
            </w:pPr>
          </w:p>
          <w:p w14:paraId="441F6D20" w14:textId="77777777" w:rsidR="00327A1E" w:rsidRPr="008A52F1" w:rsidRDefault="00327A1E" w:rsidP="00327A1E">
            <w:pPr>
              <w:jc w:val="center"/>
              <w:rPr>
                <w:rFonts w:cs="Arial"/>
                <w:b/>
                <w:bCs/>
              </w:rPr>
            </w:pPr>
            <w:r w:rsidRPr="008A52F1">
              <w:rPr>
                <w:rFonts w:cs="Arial"/>
                <w:b/>
                <w:bCs/>
              </w:rPr>
              <w:t> From First Steps to Full-Time: TDH Internship &amp; Fellowship Insights with Alumni Voices</w:t>
            </w:r>
          </w:p>
          <w:p w14:paraId="01CDA2B6" w14:textId="77777777" w:rsidR="00064124" w:rsidRPr="001F161E" w:rsidRDefault="00064124" w:rsidP="0078305B">
            <w:pPr>
              <w:jc w:val="center"/>
              <w:rPr>
                <w:rFonts w:cs="Arial"/>
              </w:rPr>
            </w:pPr>
          </w:p>
        </w:tc>
        <w:tc>
          <w:tcPr>
            <w:tcW w:w="3960" w:type="dxa"/>
            <w:vAlign w:val="center"/>
          </w:tcPr>
          <w:p w14:paraId="6073AFED" w14:textId="1D735901" w:rsidR="00064124" w:rsidRPr="00064124" w:rsidRDefault="00064124" w:rsidP="0078305B">
            <w:pPr>
              <w:jc w:val="center"/>
              <w:rPr>
                <w:rFonts w:cs="Arial"/>
                <w:b/>
                <w:bCs/>
              </w:rPr>
            </w:pPr>
            <w:r w:rsidRPr="00064124">
              <w:rPr>
                <w:rFonts w:cs="Arial"/>
                <w:b/>
                <w:bCs/>
              </w:rPr>
              <w:t>Casie Higginbotham</w:t>
            </w:r>
          </w:p>
          <w:p w14:paraId="48E7D5EA" w14:textId="376AB765" w:rsidR="00064124" w:rsidRPr="001F161E" w:rsidRDefault="00064124" w:rsidP="0078305B">
            <w:pPr>
              <w:jc w:val="center"/>
              <w:rPr>
                <w:rFonts w:cs="Arial"/>
              </w:rPr>
            </w:pPr>
            <w:r>
              <w:rPr>
                <w:rFonts w:cs="Arial"/>
              </w:rPr>
              <w:t xml:space="preserve">TDH, </w:t>
            </w:r>
            <w:r w:rsidRPr="00064124">
              <w:rPr>
                <w:rFonts w:cs="Arial"/>
              </w:rPr>
              <w:t xml:space="preserve">Academic Health Department </w:t>
            </w:r>
          </w:p>
        </w:tc>
      </w:tr>
      <w:tr w:rsidR="00064124" w:rsidRPr="001F161E" w14:paraId="68B69CBC" w14:textId="77777777" w:rsidTr="00811E4F">
        <w:tc>
          <w:tcPr>
            <w:tcW w:w="3055" w:type="dxa"/>
            <w:vAlign w:val="center"/>
          </w:tcPr>
          <w:p w14:paraId="6BFFD0D4" w14:textId="77777777" w:rsidR="00064124" w:rsidRDefault="00064124" w:rsidP="0078305B">
            <w:pPr>
              <w:jc w:val="center"/>
              <w:rPr>
                <w:rFonts w:cs="Arial"/>
              </w:rPr>
            </w:pPr>
          </w:p>
          <w:p w14:paraId="4FFB4C27" w14:textId="25B88FF6" w:rsidR="00064124" w:rsidRDefault="00064124" w:rsidP="0078305B">
            <w:pPr>
              <w:jc w:val="center"/>
              <w:rPr>
                <w:rFonts w:cs="Arial"/>
              </w:rPr>
            </w:pPr>
            <w:r>
              <w:rPr>
                <w:rFonts w:cs="Arial"/>
              </w:rPr>
              <w:t>11:00 am – 11:1</w:t>
            </w:r>
            <w:r w:rsidR="00E43B4C">
              <w:rPr>
                <w:rFonts w:cs="Arial"/>
              </w:rPr>
              <w:t>0</w:t>
            </w:r>
            <w:r>
              <w:rPr>
                <w:rFonts w:cs="Arial"/>
              </w:rPr>
              <w:t xml:space="preserve"> pm</w:t>
            </w:r>
            <w:r w:rsidR="008D7E03">
              <w:rPr>
                <w:rFonts w:cs="Arial"/>
              </w:rPr>
              <w:t xml:space="preserve"> (10 min)</w:t>
            </w:r>
          </w:p>
          <w:p w14:paraId="76A55233" w14:textId="77777777" w:rsidR="00064124" w:rsidRPr="001F161E" w:rsidRDefault="00064124" w:rsidP="0078305B">
            <w:pPr>
              <w:jc w:val="center"/>
              <w:rPr>
                <w:rFonts w:cs="Arial"/>
              </w:rPr>
            </w:pPr>
          </w:p>
        </w:tc>
        <w:tc>
          <w:tcPr>
            <w:tcW w:w="3870" w:type="dxa"/>
            <w:vAlign w:val="center"/>
          </w:tcPr>
          <w:p w14:paraId="3F4F6D28" w14:textId="41D1412C" w:rsidR="00064124" w:rsidRDefault="00064124" w:rsidP="0078305B">
            <w:pPr>
              <w:jc w:val="center"/>
              <w:rPr>
                <w:rFonts w:cs="Arial"/>
              </w:rPr>
            </w:pPr>
            <w:r>
              <w:rPr>
                <w:rFonts w:cs="Arial"/>
              </w:rPr>
              <w:t>Break</w:t>
            </w:r>
          </w:p>
        </w:tc>
        <w:tc>
          <w:tcPr>
            <w:tcW w:w="3960" w:type="dxa"/>
            <w:vAlign w:val="center"/>
          </w:tcPr>
          <w:p w14:paraId="651B7078" w14:textId="77777777" w:rsidR="00064124" w:rsidRPr="001F161E" w:rsidRDefault="00064124" w:rsidP="0078305B">
            <w:pPr>
              <w:jc w:val="center"/>
              <w:rPr>
                <w:rFonts w:cs="Arial"/>
              </w:rPr>
            </w:pPr>
          </w:p>
        </w:tc>
      </w:tr>
      <w:tr w:rsidR="00064124" w:rsidRPr="001F161E" w14:paraId="2D03288B" w14:textId="77777777" w:rsidTr="00811E4F">
        <w:tc>
          <w:tcPr>
            <w:tcW w:w="3055" w:type="dxa"/>
            <w:vAlign w:val="center"/>
          </w:tcPr>
          <w:p w14:paraId="683F8A8A" w14:textId="77777777" w:rsidR="00F76EAC" w:rsidRDefault="00F76EAC" w:rsidP="0078305B">
            <w:pPr>
              <w:jc w:val="center"/>
              <w:rPr>
                <w:rFonts w:cs="Arial"/>
              </w:rPr>
            </w:pPr>
          </w:p>
          <w:p w14:paraId="40A7BCC7" w14:textId="1A3116AC" w:rsidR="00064124" w:rsidRDefault="00064124" w:rsidP="0078305B">
            <w:pPr>
              <w:jc w:val="center"/>
              <w:rPr>
                <w:rFonts w:cs="Arial"/>
              </w:rPr>
            </w:pPr>
            <w:r>
              <w:rPr>
                <w:rFonts w:cs="Arial"/>
              </w:rPr>
              <w:t>11:1</w:t>
            </w:r>
            <w:r w:rsidR="00E43B4C">
              <w:rPr>
                <w:rFonts w:cs="Arial"/>
              </w:rPr>
              <w:t>0</w:t>
            </w:r>
            <w:r>
              <w:rPr>
                <w:rFonts w:cs="Arial"/>
              </w:rPr>
              <w:t xml:space="preserve"> am – 12:</w:t>
            </w:r>
            <w:r w:rsidR="00040FBE">
              <w:rPr>
                <w:rFonts w:cs="Arial"/>
              </w:rPr>
              <w:t>10</w:t>
            </w:r>
            <w:r>
              <w:rPr>
                <w:rFonts w:cs="Arial"/>
              </w:rPr>
              <w:t xml:space="preserve"> pm </w:t>
            </w:r>
            <w:r w:rsidR="004117AA">
              <w:rPr>
                <w:rFonts w:cs="Arial"/>
              </w:rPr>
              <w:t>(1hr)</w:t>
            </w:r>
          </w:p>
          <w:p w14:paraId="7E01E805" w14:textId="77777777" w:rsidR="00064124" w:rsidRPr="001F161E" w:rsidRDefault="00064124" w:rsidP="0078305B">
            <w:pPr>
              <w:jc w:val="center"/>
              <w:rPr>
                <w:rFonts w:cs="Arial"/>
              </w:rPr>
            </w:pPr>
          </w:p>
        </w:tc>
        <w:tc>
          <w:tcPr>
            <w:tcW w:w="3870" w:type="dxa"/>
            <w:vAlign w:val="center"/>
          </w:tcPr>
          <w:p w14:paraId="42702B9B" w14:textId="77777777" w:rsidR="007837E7" w:rsidRDefault="007837E7" w:rsidP="007837E7">
            <w:pPr>
              <w:spacing w:line="240" w:lineRule="auto"/>
              <w:jc w:val="center"/>
              <w:rPr>
                <w:rFonts w:cs="Arial"/>
              </w:rPr>
            </w:pPr>
          </w:p>
          <w:p w14:paraId="0649E715" w14:textId="77777777" w:rsidR="002E5A63" w:rsidRPr="002E5A63" w:rsidRDefault="002E5A63" w:rsidP="002E5A63">
            <w:pPr>
              <w:jc w:val="center"/>
              <w:rPr>
                <w:rFonts w:cs="Arial"/>
                <w:b/>
                <w:bCs/>
              </w:rPr>
            </w:pPr>
            <w:r w:rsidRPr="002E5A63">
              <w:rPr>
                <w:rFonts w:cs="Arial"/>
                <w:b/>
                <w:bCs/>
              </w:rPr>
              <w:t>Turning Data into Action: Tools for Tennessee Public Health Professionals</w:t>
            </w:r>
          </w:p>
          <w:p w14:paraId="2A2EFDD5" w14:textId="29E6A60A" w:rsidR="00064124" w:rsidRPr="00A63C86" w:rsidRDefault="00064124" w:rsidP="0078305B">
            <w:pPr>
              <w:jc w:val="center"/>
              <w:rPr>
                <w:rFonts w:cs="Arial"/>
                <w:b/>
                <w:bCs/>
              </w:rPr>
            </w:pPr>
          </w:p>
        </w:tc>
        <w:tc>
          <w:tcPr>
            <w:tcW w:w="3960" w:type="dxa"/>
            <w:vAlign w:val="center"/>
          </w:tcPr>
          <w:p w14:paraId="477E3184" w14:textId="3E512542" w:rsidR="00064124" w:rsidRPr="004F75F2" w:rsidRDefault="003D7CD8" w:rsidP="0078305B">
            <w:pPr>
              <w:jc w:val="center"/>
              <w:rPr>
                <w:rFonts w:cs="Arial"/>
                <w:b/>
                <w:bCs/>
              </w:rPr>
            </w:pPr>
            <w:r w:rsidRPr="004F75F2">
              <w:rPr>
                <w:rFonts w:cs="Arial"/>
                <w:b/>
                <w:bCs/>
              </w:rPr>
              <w:t xml:space="preserve">David </w:t>
            </w:r>
            <w:r w:rsidR="00500EB7" w:rsidRPr="004F75F2">
              <w:rPr>
                <w:rFonts w:cs="Arial"/>
                <w:b/>
                <w:bCs/>
              </w:rPr>
              <w:t>Borowski</w:t>
            </w:r>
            <w:r w:rsidR="00D75295">
              <w:rPr>
                <w:rFonts w:cs="Arial"/>
                <w:b/>
                <w:bCs/>
              </w:rPr>
              <w:t>, Angel Kellman</w:t>
            </w:r>
            <w:r w:rsidR="00936765">
              <w:rPr>
                <w:rFonts w:cs="Arial"/>
                <w:b/>
                <w:bCs/>
              </w:rPr>
              <w:t>, Rachel Weaver</w:t>
            </w:r>
          </w:p>
          <w:p w14:paraId="67CC8B26" w14:textId="7FE176A6" w:rsidR="004F75F2" w:rsidRPr="001F161E" w:rsidRDefault="004F75F2" w:rsidP="0078305B">
            <w:pPr>
              <w:jc w:val="center"/>
              <w:rPr>
                <w:rFonts w:cs="Arial"/>
              </w:rPr>
            </w:pPr>
            <w:r>
              <w:rPr>
                <w:rFonts w:cs="Arial"/>
              </w:rPr>
              <w:t>TD</w:t>
            </w:r>
            <w:r w:rsidR="00476DB4">
              <w:rPr>
                <w:rFonts w:cs="Arial"/>
              </w:rPr>
              <w:t>H,</w:t>
            </w:r>
            <w:r>
              <w:rPr>
                <w:rFonts w:cs="Arial"/>
              </w:rPr>
              <w:t xml:space="preserve"> </w:t>
            </w:r>
            <w:r w:rsidR="00194C4E">
              <w:rPr>
                <w:rFonts w:cs="Arial"/>
              </w:rPr>
              <w:t xml:space="preserve">Division </w:t>
            </w:r>
            <w:r w:rsidR="00E973DF" w:rsidRPr="00E973DF">
              <w:rPr>
                <w:rFonts w:cs="Arial"/>
              </w:rPr>
              <w:t>Communicable and Environmental Diseases and Emergency Preparedness</w:t>
            </w:r>
          </w:p>
        </w:tc>
      </w:tr>
      <w:tr w:rsidR="00064124" w:rsidRPr="001F161E" w14:paraId="7BB7AEE5" w14:textId="77777777" w:rsidTr="00811E4F">
        <w:trPr>
          <w:trHeight w:val="1178"/>
        </w:trPr>
        <w:tc>
          <w:tcPr>
            <w:tcW w:w="3055" w:type="dxa"/>
            <w:vAlign w:val="center"/>
          </w:tcPr>
          <w:p w14:paraId="6D371A03" w14:textId="77777777" w:rsidR="00064124" w:rsidRDefault="00064124" w:rsidP="0078305B">
            <w:pPr>
              <w:jc w:val="center"/>
              <w:rPr>
                <w:rFonts w:cs="Arial"/>
              </w:rPr>
            </w:pPr>
          </w:p>
          <w:p w14:paraId="0CE80EB6" w14:textId="0A74E171" w:rsidR="00064124" w:rsidRDefault="00064124" w:rsidP="00811E4F">
            <w:pPr>
              <w:jc w:val="center"/>
              <w:rPr>
                <w:rFonts w:cs="Arial"/>
              </w:rPr>
            </w:pPr>
            <w:r w:rsidRPr="001F161E">
              <w:rPr>
                <w:rFonts w:cs="Arial"/>
              </w:rPr>
              <w:t>12:</w:t>
            </w:r>
            <w:r>
              <w:rPr>
                <w:rFonts w:cs="Arial"/>
              </w:rPr>
              <w:t>1</w:t>
            </w:r>
            <w:r w:rsidR="00040FBE">
              <w:rPr>
                <w:rFonts w:cs="Arial"/>
              </w:rPr>
              <w:t>0</w:t>
            </w:r>
            <w:r w:rsidRPr="001F161E">
              <w:rPr>
                <w:rFonts w:cs="Arial"/>
              </w:rPr>
              <w:t xml:space="preserve"> pm – 1:</w:t>
            </w:r>
            <w:r w:rsidR="009E7D1D">
              <w:rPr>
                <w:rFonts w:cs="Arial"/>
              </w:rPr>
              <w:t>2</w:t>
            </w:r>
            <w:r w:rsidR="00C6576C">
              <w:rPr>
                <w:rFonts w:cs="Arial"/>
              </w:rPr>
              <w:t>5</w:t>
            </w:r>
            <w:r w:rsidRPr="001F161E">
              <w:rPr>
                <w:rFonts w:cs="Arial"/>
              </w:rPr>
              <w:t xml:space="preserve"> pm</w:t>
            </w:r>
          </w:p>
          <w:p w14:paraId="3D89234D" w14:textId="77777777" w:rsidR="00064124" w:rsidRPr="001F161E" w:rsidRDefault="00064124" w:rsidP="0078305B">
            <w:pPr>
              <w:rPr>
                <w:rFonts w:cs="Arial"/>
              </w:rPr>
            </w:pPr>
          </w:p>
        </w:tc>
        <w:tc>
          <w:tcPr>
            <w:tcW w:w="3870" w:type="dxa"/>
            <w:vAlign w:val="center"/>
          </w:tcPr>
          <w:p w14:paraId="511C09E1" w14:textId="77777777" w:rsidR="00064124" w:rsidRPr="001F161E" w:rsidRDefault="00064124" w:rsidP="0078305B">
            <w:pPr>
              <w:jc w:val="center"/>
              <w:rPr>
                <w:rFonts w:cs="Arial"/>
              </w:rPr>
            </w:pPr>
            <w:r w:rsidRPr="001F161E">
              <w:rPr>
                <w:rFonts w:cs="Arial"/>
              </w:rPr>
              <w:t>Lunch</w:t>
            </w:r>
          </w:p>
        </w:tc>
        <w:tc>
          <w:tcPr>
            <w:tcW w:w="3960" w:type="dxa"/>
            <w:vAlign w:val="center"/>
          </w:tcPr>
          <w:p w14:paraId="3BB3CC76" w14:textId="5B35F7BF" w:rsidR="00064124" w:rsidRPr="001F161E" w:rsidRDefault="00064124" w:rsidP="0078305B">
            <w:pPr>
              <w:jc w:val="center"/>
              <w:rPr>
                <w:rFonts w:cs="Arial"/>
              </w:rPr>
            </w:pPr>
          </w:p>
        </w:tc>
      </w:tr>
      <w:tr w:rsidR="00064124" w:rsidRPr="001F161E" w14:paraId="34E5F1AB" w14:textId="77777777" w:rsidTr="00811E4F">
        <w:tc>
          <w:tcPr>
            <w:tcW w:w="3055" w:type="dxa"/>
            <w:vAlign w:val="center"/>
          </w:tcPr>
          <w:p w14:paraId="50BD73D6" w14:textId="77777777" w:rsidR="00064124" w:rsidRPr="003B78EB" w:rsidRDefault="00064124" w:rsidP="0078305B">
            <w:pPr>
              <w:jc w:val="center"/>
              <w:rPr>
                <w:rFonts w:cs="Arial"/>
              </w:rPr>
            </w:pPr>
          </w:p>
          <w:p w14:paraId="0F11C145" w14:textId="3DC9B058" w:rsidR="00064124" w:rsidRPr="003B78EB" w:rsidRDefault="00064124" w:rsidP="0078305B">
            <w:pPr>
              <w:jc w:val="center"/>
              <w:rPr>
                <w:rFonts w:cs="Arial"/>
              </w:rPr>
            </w:pPr>
            <w:r w:rsidRPr="003B78EB">
              <w:rPr>
                <w:rFonts w:cs="Arial"/>
              </w:rPr>
              <w:t>1:</w:t>
            </w:r>
            <w:r w:rsidR="00C6576C">
              <w:rPr>
                <w:rFonts w:cs="Arial"/>
              </w:rPr>
              <w:t>25</w:t>
            </w:r>
            <w:r w:rsidRPr="003B78EB">
              <w:rPr>
                <w:rFonts w:cs="Arial"/>
              </w:rPr>
              <w:t xml:space="preserve"> pm – 2:</w:t>
            </w:r>
            <w:r w:rsidR="009E7D1D">
              <w:rPr>
                <w:rFonts w:cs="Arial"/>
              </w:rPr>
              <w:t>2</w:t>
            </w:r>
            <w:r w:rsidR="00C6576C">
              <w:rPr>
                <w:rFonts w:cs="Arial"/>
              </w:rPr>
              <w:t>5</w:t>
            </w:r>
            <w:r w:rsidRPr="003B78EB">
              <w:rPr>
                <w:rFonts w:cs="Arial"/>
              </w:rPr>
              <w:t xml:space="preserve"> pm</w:t>
            </w:r>
            <w:r w:rsidR="00CB6DBE">
              <w:rPr>
                <w:rFonts w:cs="Arial"/>
              </w:rPr>
              <w:t xml:space="preserve"> (1hr)</w:t>
            </w:r>
            <w:r w:rsidR="004117AA">
              <w:rPr>
                <w:rFonts w:cs="Arial"/>
              </w:rPr>
              <w:t xml:space="preserve"> </w:t>
            </w:r>
          </w:p>
          <w:p w14:paraId="37303674" w14:textId="77777777" w:rsidR="00064124" w:rsidRPr="003B78EB" w:rsidRDefault="00064124" w:rsidP="0078305B">
            <w:pPr>
              <w:jc w:val="center"/>
              <w:rPr>
                <w:rFonts w:cs="Arial"/>
              </w:rPr>
            </w:pPr>
          </w:p>
        </w:tc>
        <w:tc>
          <w:tcPr>
            <w:tcW w:w="3870" w:type="dxa"/>
            <w:vAlign w:val="center"/>
          </w:tcPr>
          <w:p w14:paraId="6FBF8667" w14:textId="77777777" w:rsidR="00152426" w:rsidRPr="003C170A" w:rsidRDefault="00152426" w:rsidP="00152426">
            <w:pPr>
              <w:jc w:val="center"/>
              <w:rPr>
                <w:rFonts w:cs="Arial"/>
                <w:b/>
                <w:bCs/>
              </w:rPr>
            </w:pPr>
            <w:r w:rsidRPr="003C170A">
              <w:rPr>
                <w:rFonts w:cs="Arial"/>
                <w:b/>
                <w:bCs/>
              </w:rPr>
              <w:t>Health Excellence Starts</w:t>
            </w:r>
          </w:p>
          <w:p w14:paraId="21940F03" w14:textId="77777777" w:rsidR="00152426" w:rsidRPr="003C170A" w:rsidRDefault="00152426" w:rsidP="00152426">
            <w:pPr>
              <w:jc w:val="center"/>
              <w:rPr>
                <w:rFonts w:cs="Arial"/>
                <w:b/>
                <w:bCs/>
              </w:rPr>
            </w:pPr>
            <w:r w:rsidRPr="003C170A">
              <w:rPr>
                <w:rFonts w:cs="Arial"/>
                <w:b/>
                <w:bCs/>
              </w:rPr>
              <w:t>with Us: Culture,</w:t>
            </w:r>
          </w:p>
          <w:p w14:paraId="4FA5D76E" w14:textId="4810A7A7" w:rsidR="00064124" w:rsidRPr="003B78EB" w:rsidRDefault="00152426" w:rsidP="00152426">
            <w:pPr>
              <w:jc w:val="center"/>
              <w:rPr>
                <w:rFonts w:cs="Arial"/>
              </w:rPr>
            </w:pPr>
            <w:r w:rsidRPr="003C170A">
              <w:rPr>
                <w:rFonts w:cs="Arial"/>
                <w:b/>
                <w:bCs/>
              </w:rPr>
              <w:t>Connection, and Care</w:t>
            </w:r>
          </w:p>
        </w:tc>
        <w:tc>
          <w:tcPr>
            <w:tcW w:w="3960" w:type="dxa"/>
            <w:vAlign w:val="center"/>
          </w:tcPr>
          <w:p w14:paraId="5EF9D85E" w14:textId="77777777" w:rsidR="007837E7" w:rsidRDefault="007837E7" w:rsidP="007662B0">
            <w:pPr>
              <w:jc w:val="center"/>
              <w:rPr>
                <w:rFonts w:cs="Arial"/>
                <w:b/>
                <w:bCs/>
              </w:rPr>
            </w:pPr>
          </w:p>
          <w:p w14:paraId="320EF445" w14:textId="6445A5E3" w:rsidR="00064124" w:rsidRPr="00157441" w:rsidRDefault="00C11352" w:rsidP="007662B0">
            <w:pPr>
              <w:jc w:val="center"/>
              <w:rPr>
                <w:rFonts w:cs="Arial"/>
                <w:b/>
                <w:bCs/>
              </w:rPr>
            </w:pPr>
            <w:proofErr w:type="spellStart"/>
            <w:r w:rsidRPr="00157441">
              <w:rPr>
                <w:rFonts w:cs="Arial"/>
                <w:b/>
                <w:bCs/>
              </w:rPr>
              <w:t>Cosmelita</w:t>
            </w:r>
            <w:proofErr w:type="spellEnd"/>
            <w:r w:rsidRPr="00157441">
              <w:rPr>
                <w:rFonts w:cs="Arial"/>
                <w:b/>
                <w:bCs/>
              </w:rPr>
              <w:t xml:space="preserve"> Sain</w:t>
            </w:r>
          </w:p>
          <w:p w14:paraId="28468841" w14:textId="563C617A" w:rsidR="00FD2075" w:rsidRPr="003B78EB" w:rsidRDefault="00FD2075" w:rsidP="007662B0">
            <w:pPr>
              <w:jc w:val="center"/>
              <w:rPr>
                <w:rFonts w:cs="Arial"/>
              </w:rPr>
            </w:pPr>
            <w:r>
              <w:rPr>
                <w:rFonts w:cs="Arial"/>
              </w:rPr>
              <w:t>TDH</w:t>
            </w:r>
            <w:r w:rsidR="00476DB4">
              <w:rPr>
                <w:rFonts w:cs="Arial"/>
              </w:rPr>
              <w:t>,</w:t>
            </w:r>
            <w:r>
              <w:rPr>
                <w:rFonts w:cs="Arial"/>
              </w:rPr>
              <w:t xml:space="preserve"> </w:t>
            </w:r>
            <w:r w:rsidR="00C25C30" w:rsidRPr="00C25C30">
              <w:rPr>
                <w:rFonts w:cs="Arial"/>
              </w:rPr>
              <w:t>Division of Health Disparities Elimination/Office of Minority Health</w:t>
            </w:r>
          </w:p>
        </w:tc>
      </w:tr>
      <w:tr w:rsidR="00064124" w:rsidRPr="001F161E" w14:paraId="697D6E5B" w14:textId="77777777" w:rsidTr="00811E4F">
        <w:tc>
          <w:tcPr>
            <w:tcW w:w="3055" w:type="dxa"/>
            <w:vAlign w:val="center"/>
          </w:tcPr>
          <w:p w14:paraId="7474EE9B" w14:textId="77777777" w:rsidR="00064124" w:rsidRDefault="00064124" w:rsidP="0078305B">
            <w:pPr>
              <w:jc w:val="center"/>
              <w:rPr>
                <w:rFonts w:cs="Arial"/>
              </w:rPr>
            </w:pPr>
          </w:p>
          <w:p w14:paraId="44F2A712" w14:textId="2BFFB685" w:rsidR="00064124" w:rsidRDefault="00064124" w:rsidP="0078305B">
            <w:pPr>
              <w:jc w:val="center"/>
              <w:rPr>
                <w:rFonts w:cs="Arial"/>
              </w:rPr>
            </w:pPr>
            <w:r>
              <w:rPr>
                <w:rFonts w:cs="Arial"/>
              </w:rPr>
              <w:t>2:</w:t>
            </w:r>
            <w:r w:rsidR="009E7D1D">
              <w:rPr>
                <w:rFonts w:cs="Arial"/>
              </w:rPr>
              <w:t>2</w:t>
            </w:r>
            <w:r>
              <w:rPr>
                <w:rFonts w:cs="Arial"/>
              </w:rPr>
              <w:t xml:space="preserve">5 pm – </w:t>
            </w:r>
            <w:r w:rsidR="00F1711E">
              <w:rPr>
                <w:rFonts w:cs="Arial"/>
              </w:rPr>
              <w:t>2</w:t>
            </w:r>
            <w:r>
              <w:rPr>
                <w:rFonts w:cs="Arial"/>
              </w:rPr>
              <w:t>:</w:t>
            </w:r>
            <w:r w:rsidR="00F1711E">
              <w:rPr>
                <w:rFonts w:cs="Arial"/>
              </w:rPr>
              <w:t>3</w:t>
            </w:r>
            <w:r w:rsidR="004A74E6">
              <w:rPr>
                <w:rFonts w:cs="Arial"/>
              </w:rPr>
              <w:t>5</w:t>
            </w:r>
            <w:r>
              <w:rPr>
                <w:rFonts w:cs="Arial"/>
              </w:rPr>
              <w:t xml:space="preserve"> pm </w:t>
            </w:r>
            <w:r w:rsidR="00CB6DBE">
              <w:rPr>
                <w:rFonts w:cs="Arial"/>
              </w:rPr>
              <w:t>(10 min)</w:t>
            </w:r>
          </w:p>
          <w:p w14:paraId="2C0033A2" w14:textId="77777777" w:rsidR="00064124" w:rsidRPr="003B78EB" w:rsidRDefault="00064124" w:rsidP="0078305B">
            <w:pPr>
              <w:jc w:val="center"/>
              <w:rPr>
                <w:rFonts w:cs="Arial"/>
              </w:rPr>
            </w:pPr>
          </w:p>
        </w:tc>
        <w:tc>
          <w:tcPr>
            <w:tcW w:w="3870" w:type="dxa"/>
            <w:vAlign w:val="center"/>
          </w:tcPr>
          <w:p w14:paraId="1EC99C61" w14:textId="77777777" w:rsidR="00064124" w:rsidRDefault="00064124" w:rsidP="0078305B">
            <w:pPr>
              <w:jc w:val="center"/>
              <w:rPr>
                <w:rFonts w:cs="Arial"/>
              </w:rPr>
            </w:pPr>
            <w:r>
              <w:rPr>
                <w:rFonts w:cs="Arial"/>
              </w:rPr>
              <w:t xml:space="preserve">Break </w:t>
            </w:r>
          </w:p>
        </w:tc>
        <w:tc>
          <w:tcPr>
            <w:tcW w:w="3960" w:type="dxa"/>
            <w:vAlign w:val="center"/>
          </w:tcPr>
          <w:p w14:paraId="3780F680" w14:textId="77777777" w:rsidR="00064124" w:rsidRPr="003B78EB" w:rsidRDefault="00064124" w:rsidP="0078305B">
            <w:pPr>
              <w:rPr>
                <w:rFonts w:cs="Arial"/>
              </w:rPr>
            </w:pPr>
          </w:p>
        </w:tc>
      </w:tr>
      <w:tr w:rsidR="00064124" w:rsidRPr="001F161E" w14:paraId="4D180745" w14:textId="77777777" w:rsidTr="00811E4F">
        <w:tc>
          <w:tcPr>
            <w:tcW w:w="3055" w:type="dxa"/>
            <w:vAlign w:val="center"/>
          </w:tcPr>
          <w:p w14:paraId="0BFF7B71" w14:textId="77777777" w:rsidR="00064124" w:rsidRPr="00084DD2" w:rsidRDefault="00064124" w:rsidP="0078305B">
            <w:pPr>
              <w:jc w:val="center"/>
              <w:rPr>
                <w:rFonts w:cs="Arial"/>
              </w:rPr>
            </w:pPr>
          </w:p>
          <w:p w14:paraId="632F647B" w14:textId="183C3ACB" w:rsidR="00064124" w:rsidRPr="00084DD2" w:rsidRDefault="00064124" w:rsidP="0078305B">
            <w:pPr>
              <w:jc w:val="center"/>
              <w:rPr>
                <w:rFonts w:cs="Arial"/>
              </w:rPr>
            </w:pPr>
            <w:r w:rsidRPr="00084DD2">
              <w:rPr>
                <w:rFonts w:cs="Arial"/>
              </w:rPr>
              <w:t>2:</w:t>
            </w:r>
            <w:r w:rsidR="009E7D1D">
              <w:rPr>
                <w:rFonts w:cs="Arial"/>
              </w:rPr>
              <w:t>3</w:t>
            </w:r>
            <w:r w:rsidR="004A74E6">
              <w:rPr>
                <w:rFonts w:cs="Arial"/>
              </w:rPr>
              <w:t>5</w:t>
            </w:r>
            <w:r w:rsidRPr="00084DD2">
              <w:rPr>
                <w:rFonts w:cs="Arial"/>
              </w:rPr>
              <w:t>pm – 3</w:t>
            </w:r>
            <w:r w:rsidR="009E7D1D">
              <w:rPr>
                <w:rFonts w:cs="Arial"/>
              </w:rPr>
              <w:t>:3</w:t>
            </w:r>
            <w:r w:rsidR="004A74E6">
              <w:rPr>
                <w:rFonts w:cs="Arial"/>
              </w:rPr>
              <w:t>5</w:t>
            </w:r>
            <w:r w:rsidRPr="00084DD2">
              <w:rPr>
                <w:rFonts w:cs="Arial"/>
              </w:rPr>
              <w:t xml:space="preserve"> pm</w:t>
            </w:r>
            <w:r w:rsidR="00CB6DBE">
              <w:rPr>
                <w:rFonts w:cs="Arial"/>
              </w:rPr>
              <w:t xml:space="preserve"> (1hr)</w:t>
            </w:r>
          </w:p>
          <w:p w14:paraId="2C2EB8FF" w14:textId="77777777" w:rsidR="00064124" w:rsidRPr="00084DD2" w:rsidRDefault="00064124" w:rsidP="0078305B">
            <w:pPr>
              <w:rPr>
                <w:rFonts w:cs="Arial"/>
              </w:rPr>
            </w:pPr>
          </w:p>
        </w:tc>
        <w:tc>
          <w:tcPr>
            <w:tcW w:w="3870" w:type="dxa"/>
            <w:vAlign w:val="center"/>
          </w:tcPr>
          <w:p w14:paraId="177BE136" w14:textId="47444FC1" w:rsidR="00064124" w:rsidRPr="00D400B4" w:rsidRDefault="00167D2D" w:rsidP="00167D2D">
            <w:pPr>
              <w:jc w:val="center"/>
              <w:rPr>
                <w:rFonts w:cs="Arial"/>
                <w:b/>
                <w:bCs/>
              </w:rPr>
            </w:pPr>
            <w:r w:rsidRPr="00167D2D">
              <w:rPr>
                <w:rFonts w:cs="Arial"/>
                <w:b/>
                <w:bCs/>
              </w:rPr>
              <w:t>Bridging the Gaps: How MCO Partnerships and Early Planning Improve Housing Stability in LTSS</w:t>
            </w:r>
          </w:p>
        </w:tc>
        <w:tc>
          <w:tcPr>
            <w:tcW w:w="3960" w:type="dxa"/>
            <w:vAlign w:val="center"/>
          </w:tcPr>
          <w:p w14:paraId="7C8AE646" w14:textId="04B52487" w:rsidR="00064124" w:rsidRDefault="00092769" w:rsidP="0078305B">
            <w:pPr>
              <w:jc w:val="center"/>
              <w:rPr>
                <w:rFonts w:cs="Arial"/>
                <w:b/>
                <w:bCs/>
              </w:rPr>
            </w:pPr>
            <w:r>
              <w:rPr>
                <w:rFonts w:cs="Arial"/>
                <w:b/>
                <w:bCs/>
              </w:rPr>
              <w:t>Evy Boyer, Shannon Ferrell, Lynn Sanders</w:t>
            </w:r>
          </w:p>
          <w:p w14:paraId="7E22D0E7" w14:textId="77777777" w:rsidR="005B18F6" w:rsidRDefault="002A3E1F" w:rsidP="0078305B">
            <w:pPr>
              <w:jc w:val="center"/>
              <w:rPr>
                <w:rFonts w:cs="Arial"/>
              </w:rPr>
            </w:pPr>
            <w:r>
              <w:rPr>
                <w:rFonts w:cs="Arial"/>
              </w:rPr>
              <w:t>Division of T</w:t>
            </w:r>
            <w:r w:rsidR="00FC1E63">
              <w:rPr>
                <w:rFonts w:cs="Arial"/>
              </w:rPr>
              <w:t>ennCare</w:t>
            </w:r>
          </w:p>
          <w:p w14:paraId="067B8E8A" w14:textId="1743D0E9" w:rsidR="00F47344" w:rsidRPr="005B18F6" w:rsidRDefault="00F47344" w:rsidP="00F47344">
            <w:pPr>
              <w:jc w:val="center"/>
              <w:rPr>
                <w:rFonts w:cs="Arial"/>
              </w:rPr>
            </w:pPr>
            <w:r w:rsidRPr="00F47344">
              <w:rPr>
                <w:rFonts w:cs="Arial"/>
              </w:rPr>
              <w:t>UnitedHealthcare, BlueCare, and Wellpoint</w:t>
            </w:r>
          </w:p>
        </w:tc>
      </w:tr>
      <w:tr w:rsidR="00064124" w:rsidRPr="001F161E" w14:paraId="1C55D6C4" w14:textId="77777777" w:rsidTr="00811E4F">
        <w:tc>
          <w:tcPr>
            <w:tcW w:w="3055" w:type="dxa"/>
            <w:vAlign w:val="center"/>
          </w:tcPr>
          <w:p w14:paraId="2DDBB251" w14:textId="77777777" w:rsidR="00064124" w:rsidRDefault="00064124" w:rsidP="0078305B">
            <w:pPr>
              <w:jc w:val="center"/>
              <w:rPr>
                <w:rFonts w:cs="Arial"/>
              </w:rPr>
            </w:pPr>
          </w:p>
          <w:p w14:paraId="60549581" w14:textId="59336DAD" w:rsidR="00064124" w:rsidRDefault="00064124" w:rsidP="0078305B">
            <w:pPr>
              <w:jc w:val="center"/>
              <w:rPr>
                <w:rFonts w:cs="Arial"/>
              </w:rPr>
            </w:pPr>
            <w:r>
              <w:rPr>
                <w:rFonts w:cs="Arial"/>
              </w:rPr>
              <w:t>3:</w:t>
            </w:r>
            <w:r w:rsidR="009E7D1D">
              <w:rPr>
                <w:rFonts w:cs="Arial"/>
              </w:rPr>
              <w:t>3</w:t>
            </w:r>
            <w:r w:rsidR="004A74E6">
              <w:rPr>
                <w:rFonts w:cs="Arial"/>
              </w:rPr>
              <w:t>5</w:t>
            </w:r>
            <w:r w:rsidRPr="001F161E">
              <w:rPr>
                <w:rFonts w:cs="Arial"/>
              </w:rPr>
              <w:t xml:space="preserve"> pm</w:t>
            </w:r>
            <w:r>
              <w:rPr>
                <w:rFonts w:cs="Arial"/>
              </w:rPr>
              <w:t xml:space="preserve"> – </w:t>
            </w:r>
            <w:r w:rsidR="00556EC9">
              <w:rPr>
                <w:rFonts w:cs="Arial"/>
              </w:rPr>
              <w:t>4</w:t>
            </w:r>
            <w:r w:rsidRPr="001F161E">
              <w:rPr>
                <w:rFonts w:cs="Arial"/>
              </w:rPr>
              <w:t>:</w:t>
            </w:r>
            <w:r w:rsidR="00556EC9">
              <w:rPr>
                <w:rFonts w:cs="Arial"/>
              </w:rPr>
              <w:t>00</w:t>
            </w:r>
            <w:r w:rsidRPr="001F161E">
              <w:rPr>
                <w:rFonts w:cs="Arial"/>
              </w:rPr>
              <w:t xml:space="preserve"> pm</w:t>
            </w:r>
            <w:r w:rsidR="00CB6DBE">
              <w:rPr>
                <w:rFonts w:cs="Arial"/>
              </w:rPr>
              <w:t xml:space="preserve"> (</w:t>
            </w:r>
            <w:r w:rsidR="006162EF">
              <w:rPr>
                <w:rFonts w:cs="Arial"/>
              </w:rPr>
              <w:t>25 min)</w:t>
            </w:r>
          </w:p>
          <w:p w14:paraId="27F86C07" w14:textId="77777777" w:rsidR="00064124" w:rsidRPr="001F161E" w:rsidRDefault="00064124" w:rsidP="0078305B">
            <w:pPr>
              <w:rPr>
                <w:rFonts w:cs="Arial"/>
              </w:rPr>
            </w:pPr>
          </w:p>
        </w:tc>
        <w:tc>
          <w:tcPr>
            <w:tcW w:w="3870" w:type="dxa"/>
            <w:vAlign w:val="center"/>
          </w:tcPr>
          <w:p w14:paraId="00550D2E" w14:textId="77777777" w:rsidR="00064124" w:rsidRPr="001F161E" w:rsidRDefault="00064124" w:rsidP="0078305B">
            <w:pPr>
              <w:jc w:val="center"/>
              <w:rPr>
                <w:rFonts w:cs="Arial"/>
              </w:rPr>
            </w:pPr>
            <w:r w:rsidRPr="001F161E">
              <w:rPr>
                <w:rFonts w:cs="Arial"/>
              </w:rPr>
              <w:lastRenderedPageBreak/>
              <w:t>Closing Remarks and Adjourn</w:t>
            </w:r>
          </w:p>
        </w:tc>
        <w:tc>
          <w:tcPr>
            <w:tcW w:w="3960" w:type="dxa"/>
            <w:vAlign w:val="center"/>
          </w:tcPr>
          <w:p w14:paraId="59E75FDF" w14:textId="77777777" w:rsidR="00064124" w:rsidRPr="001F161E" w:rsidRDefault="00064124" w:rsidP="0078305B">
            <w:pPr>
              <w:jc w:val="center"/>
              <w:rPr>
                <w:rFonts w:cs="Arial"/>
              </w:rPr>
            </w:pPr>
          </w:p>
        </w:tc>
      </w:tr>
    </w:tbl>
    <w:p w14:paraId="241CDC85" w14:textId="77777777" w:rsidR="00064124" w:rsidRDefault="00064124" w:rsidP="00064124">
      <w:pPr>
        <w:spacing w:after="0"/>
        <w:jc w:val="center"/>
        <w:rPr>
          <w:rFonts w:cs="Arial"/>
        </w:rPr>
      </w:pPr>
    </w:p>
    <w:p w14:paraId="51B18149" w14:textId="77777777" w:rsidR="00064124" w:rsidRDefault="00064124" w:rsidP="00064124">
      <w:pPr>
        <w:spacing w:after="0"/>
        <w:rPr>
          <w:rFonts w:cs="Arial"/>
        </w:rPr>
      </w:pPr>
    </w:p>
    <w:p w14:paraId="535AA871" w14:textId="77777777" w:rsidR="000172EC" w:rsidRDefault="000172EC" w:rsidP="000172EC">
      <w:pPr>
        <w:spacing w:after="0"/>
        <w:jc w:val="center"/>
        <w:rPr>
          <w:rFonts w:cs="Arial"/>
          <w:b/>
          <w:bCs/>
        </w:rPr>
      </w:pPr>
      <w:r w:rsidRPr="00A14098">
        <w:rPr>
          <w:rFonts w:cs="Arial"/>
          <w:b/>
          <w:bCs/>
        </w:rPr>
        <w:t>Presenter Bios/ Information</w:t>
      </w:r>
    </w:p>
    <w:p w14:paraId="5FFFDEAA" w14:textId="77777777" w:rsidR="004B7F82" w:rsidRPr="00A14098" w:rsidRDefault="004B7F82" w:rsidP="000172EC">
      <w:pPr>
        <w:spacing w:after="0"/>
        <w:jc w:val="center"/>
        <w:rPr>
          <w:rFonts w:cs="Arial"/>
          <w:b/>
          <w:bCs/>
        </w:rPr>
      </w:pPr>
    </w:p>
    <w:p w14:paraId="17F04E21" w14:textId="64AE6B4F" w:rsidR="004B7F82" w:rsidRDefault="00452A8E" w:rsidP="008C7627">
      <w:pPr>
        <w:rPr>
          <w:rFonts w:cs="Arial"/>
          <w:b/>
          <w:bCs/>
        </w:rPr>
      </w:pPr>
      <w:r w:rsidRPr="00064124">
        <w:rPr>
          <w:rFonts w:cs="Arial"/>
          <w:b/>
          <w:bCs/>
        </w:rPr>
        <w:t>Casie Higginbotham</w:t>
      </w:r>
      <w:r w:rsidR="004B7F82">
        <w:rPr>
          <w:rFonts w:cs="Arial"/>
          <w:b/>
          <w:bCs/>
        </w:rPr>
        <w:t xml:space="preserve"> – Academic Health Department, Director</w:t>
      </w:r>
    </w:p>
    <w:p w14:paraId="308B0602" w14:textId="50364171" w:rsidR="0080394F" w:rsidRPr="00B06C4B" w:rsidRDefault="004E7F4B" w:rsidP="00B06C4B">
      <w:pPr>
        <w:pStyle w:val="ListParagraph"/>
        <w:numPr>
          <w:ilvl w:val="0"/>
          <w:numId w:val="5"/>
        </w:numPr>
        <w:rPr>
          <w:rFonts w:cs="Arial"/>
          <w:b/>
          <w:bCs/>
        </w:rPr>
      </w:pPr>
      <w:r>
        <w:rPr>
          <w:b/>
          <w:bCs/>
        </w:rPr>
        <w:t xml:space="preserve">Bio: </w:t>
      </w:r>
      <w:r w:rsidR="0080394F" w:rsidRPr="0080394F">
        <w:t>Casie Higginbotham is the Academic Health Department Director for the Tennessee Department of Health. In this role, she works with faculty and students across the state to provide experiential learning opportunities and practical field experience. She also serves as a connection point for faculty and career development staff who would like to partner with TDH.</w:t>
      </w:r>
    </w:p>
    <w:p w14:paraId="60725790" w14:textId="77777777" w:rsidR="0080394F" w:rsidRPr="0080394F" w:rsidRDefault="0080394F" w:rsidP="00B06C4B">
      <w:pPr>
        <w:pStyle w:val="ListParagraph"/>
        <w:ind w:firstLine="720"/>
      </w:pPr>
      <w:r w:rsidRPr="0080394F">
        <w:t>Casie earned B.S and M.S. degrees in Health Education from Middle Tennessee State University where she taught as a full-time faculty member in the undergraduate Community &amp; Public Health program for 17 years. She has also worked in corporate wellness and in non-profit public health roles addressing primary prevention.</w:t>
      </w:r>
    </w:p>
    <w:p w14:paraId="1D960B2D" w14:textId="77777777" w:rsidR="0080394F" w:rsidRDefault="0080394F" w:rsidP="00B06C4B">
      <w:pPr>
        <w:pStyle w:val="ListParagraph"/>
        <w:ind w:firstLine="720"/>
      </w:pPr>
      <w:r w:rsidRPr="0080394F">
        <w:t>Casie and her husband of 25 years, Michael, are the proud parents of two kids. You can find the family at the tennis court, cheer competitions, band performances, campouts and just hanging out watching movies on pizza night.</w:t>
      </w:r>
    </w:p>
    <w:p w14:paraId="33DD6540" w14:textId="77777777" w:rsidR="004E7F4B" w:rsidRPr="0080394F" w:rsidRDefault="004E7F4B" w:rsidP="00B06C4B">
      <w:pPr>
        <w:pStyle w:val="ListParagraph"/>
        <w:ind w:firstLine="720"/>
      </w:pPr>
    </w:p>
    <w:p w14:paraId="4F422F1D" w14:textId="6FE45AFA" w:rsidR="00E277F6" w:rsidRPr="00C25C30" w:rsidRDefault="00E277F6" w:rsidP="00FB3622">
      <w:pPr>
        <w:pStyle w:val="ListParagraph"/>
        <w:numPr>
          <w:ilvl w:val="0"/>
          <w:numId w:val="5"/>
        </w:numPr>
        <w:rPr>
          <w:b/>
          <w:bCs/>
        </w:rPr>
      </w:pPr>
      <w:r>
        <w:rPr>
          <w:b/>
          <w:bCs/>
        </w:rPr>
        <w:t xml:space="preserve">Presentation Summary: </w:t>
      </w:r>
      <w:r w:rsidR="00FB3622" w:rsidRPr="00FB3622">
        <w:t>Participants will be able to describe the function and goals of the TDH internship and fellowship programs. Faculty can explain the value of the programs to students. Students can identify the experience program that best aligns with their professional development goals. TDH staff can appraise their own readiness to supervise a student intern or fellow.</w:t>
      </w:r>
    </w:p>
    <w:p w14:paraId="31DC731E" w14:textId="77777777" w:rsidR="00C25C30" w:rsidRPr="00FB3622" w:rsidRDefault="00C25C30" w:rsidP="00C25C30">
      <w:pPr>
        <w:pStyle w:val="ListParagraph"/>
        <w:rPr>
          <w:b/>
          <w:bCs/>
        </w:rPr>
      </w:pPr>
    </w:p>
    <w:p w14:paraId="50B819DA" w14:textId="6261713D" w:rsidR="00963C25" w:rsidRPr="004E7F4B" w:rsidRDefault="004B7F82" w:rsidP="004E7F4B">
      <w:pPr>
        <w:pStyle w:val="ListParagraph"/>
        <w:numPr>
          <w:ilvl w:val="0"/>
          <w:numId w:val="5"/>
        </w:numPr>
        <w:rPr>
          <w:b/>
          <w:bCs/>
        </w:rPr>
      </w:pPr>
      <w:r w:rsidRPr="004E7F4B">
        <w:rPr>
          <w:b/>
          <w:bCs/>
        </w:rPr>
        <w:t>Learning O</w:t>
      </w:r>
      <w:r w:rsidR="00917039" w:rsidRPr="004E7F4B">
        <w:rPr>
          <w:b/>
          <w:bCs/>
        </w:rPr>
        <w:t xml:space="preserve">bjectives: </w:t>
      </w:r>
      <w:r w:rsidR="00963C25" w:rsidRPr="004E7F4B">
        <w:rPr>
          <w:b/>
          <w:bCs/>
        </w:rPr>
        <w:t>From First Steps to Full-Time: TDH Internship &amp; Fellowship Insights with Alumni Voices</w:t>
      </w:r>
    </w:p>
    <w:p w14:paraId="76EE6F34" w14:textId="77777777" w:rsidR="00963C25" w:rsidRPr="00963C25" w:rsidRDefault="00963C25" w:rsidP="00963C25">
      <w:pPr>
        <w:pStyle w:val="ListParagraph"/>
        <w:numPr>
          <w:ilvl w:val="0"/>
          <w:numId w:val="4"/>
        </w:numPr>
      </w:pPr>
      <w:r w:rsidRPr="00963C25">
        <w:t>Participants will be able to describe the function and goals of the TDH internship and fellowship programs.</w:t>
      </w:r>
    </w:p>
    <w:p w14:paraId="342D0EBC" w14:textId="77777777" w:rsidR="00963C25" w:rsidRPr="00963C25" w:rsidRDefault="00963C25" w:rsidP="00963C25">
      <w:pPr>
        <w:pStyle w:val="ListParagraph"/>
        <w:numPr>
          <w:ilvl w:val="0"/>
          <w:numId w:val="4"/>
        </w:numPr>
      </w:pPr>
      <w:r w:rsidRPr="00963C25">
        <w:t>Faculty can explain the value of the programs to students.</w:t>
      </w:r>
    </w:p>
    <w:p w14:paraId="3F9B0B0D" w14:textId="77777777" w:rsidR="00963C25" w:rsidRPr="00963C25" w:rsidRDefault="00963C25" w:rsidP="00963C25">
      <w:pPr>
        <w:pStyle w:val="ListParagraph"/>
        <w:numPr>
          <w:ilvl w:val="0"/>
          <w:numId w:val="4"/>
        </w:numPr>
      </w:pPr>
      <w:r w:rsidRPr="00963C25">
        <w:t>Students can identify the experience program that best aligns with their professional development goals.</w:t>
      </w:r>
    </w:p>
    <w:p w14:paraId="3A03D9E0" w14:textId="77777777" w:rsidR="00963C25" w:rsidRPr="00963C25" w:rsidRDefault="00963C25" w:rsidP="00963C25">
      <w:pPr>
        <w:pStyle w:val="ListParagraph"/>
        <w:numPr>
          <w:ilvl w:val="0"/>
          <w:numId w:val="4"/>
        </w:numPr>
      </w:pPr>
      <w:r w:rsidRPr="00963C25">
        <w:t>TDH staff can appraise their own readiness to supervise a student intern or fellow.</w:t>
      </w:r>
    </w:p>
    <w:p w14:paraId="14F946E3" w14:textId="77777777" w:rsidR="00963C25" w:rsidRPr="00963C25" w:rsidRDefault="00963C25" w:rsidP="00963C25">
      <w:pPr>
        <w:rPr>
          <w:b/>
          <w:bCs/>
        </w:rPr>
      </w:pPr>
    </w:p>
    <w:p w14:paraId="5F9693DB" w14:textId="3C9F985D" w:rsidR="00452A8E" w:rsidRDefault="004E7F4B" w:rsidP="0080394F">
      <w:pPr>
        <w:rPr>
          <w:b/>
          <w:bCs/>
        </w:rPr>
      </w:pPr>
      <w:r>
        <w:rPr>
          <w:b/>
          <w:bCs/>
        </w:rPr>
        <w:t xml:space="preserve">David Borowski – Environmental </w:t>
      </w:r>
      <w:r w:rsidR="000E6680">
        <w:rPr>
          <w:b/>
          <w:bCs/>
        </w:rPr>
        <w:t>Specialist</w:t>
      </w:r>
    </w:p>
    <w:p w14:paraId="065BDCC1" w14:textId="77777777" w:rsidR="00126512" w:rsidRDefault="000E6680" w:rsidP="00126512">
      <w:pPr>
        <w:pStyle w:val="ListParagraph"/>
        <w:numPr>
          <w:ilvl w:val="0"/>
          <w:numId w:val="6"/>
        </w:numPr>
      </w:pPr>
      <w:r w:rsidRPr="00D67500">
        <w:rPr>
          <w:b/>
          <w:bCs/>
        </w:rPr>
        <w:t>Bio</w:t>
      </w:r>
      <w:r>
        <w:t>:</w:t>
      </w:r>
      <w:r w:rsidR="00126512">
        <w:t xml:space="preserve"> </w:t>
      </w:r>
      <w:r w:rsidR="00126512" w:rsidRPr="00126512">
        <w:t>Angel, Rachel, and David are from the Tennessee Department of Health’s Environmental Epidemiology Program and work in the Central Office.</w:t>
      </w:r>
    </w:p>
    <w:p w14:paraId="3F83A59D" w14:textId="2BC541FD" w:rsidR="00126512" w:rsidRPr="00126512" w:rsidRDefault="00126512" w:rsidP="00126512">
      <w:pPr>
        <w:pStyle w:val="ListParagraph"/>
        <w:ind w:firstLine="720"/>
      </w:pPr>
      <w:r w:rsidRPr="00126512">
        <w:t>Angel Kellman has been with the TN Department of Health for 2 years as a health educator.  She has her master’s degree from Baylor University with a graduate certificate in Public Health from Oregon State University.  Angel works to create resources about environmental concerns and exposures.   She is also responsible for leading webinars and creating programing around asthma to enable nurses, educators, doctors, researchers, and insurance providers to stay connected with asthma information. This asthma coalition of experts led to making an asthma group in the TN Health Network. </w:t>
      </w:r>
    </w:p>
    <w:p w14:paraId="052C6E92" w14:textId="6DD50300" w:rsidR="00126512" w:rsidRPr="00126512" w:rsidRDefault="00126512" w:rsidP="00126512">
      <w:pPr>
        <w:pStyle w:val="ListParagraph"/>
        <w:ind w:firstLine="720"/>
      </w:pPr>
      <w:r w:rsidRPr="00126512">
        <w:t>Rachel Weaver is an Epidemiologist who works to crunch numbers into aggregated datasets meeting national consistent data and measures. She graduated from University of Richmond and the University of Alabama at Birmingham School of Public Health. Rachel has been working at TDH on the Environmental Public Health Tracking grant through CDC for 3 years. You can find her work on asthma, CO poisoning, and radon inside the Health Data Website.</w:t>
      </w:r>
    </w:p>
    <w:p w14:paraId="149A978E" w14:textId="77777777" w:rsidR="00126512" w:rsidRPr="00126512" w:rsidRDefault="00126512" w:rsidP="00126512">
      <w:pPr>
        <w:pStyle w:val="ListParagraph"/>
        <w:ind w:firstLine="720"/>
      </w:pPr>
      <w:r w:rsidRPr="00126512">
        <w:lastRenderedPageBreak/>
        <w:t>David Borowski is the Director of the Environmental Epidemiology Program who delegates to Angel and Rachel. He graduated from Indiana University and Eckerd College. David networks with the Tennessee Department of Environment and Conversation and the U.S. Environmental Protection Agency. He is ready to share with you some new online tools you can immediately put to good use.</w:t>
      </w:r>
    </w:p>
    <w:p w14:paraId="420E2ADE" w14:textId="09B4E520" w:rsidR="000E6680" w:rsidRPr="00E35480" w:rsidRDefault="000E6680" w:rsidP="00126512">
      <w:pPr>
        <w:pStyle w:val="ListParagraph"/>
        <w:rPr>
          <w:b/>
          <w:bCs/>
        </w:rPr>
      </w:pPr>
    </w:p>
    <w:p w14:paraId="24546B5F" w14:textId="134334A4" w:rsidR="00E35480" w:rsidRPr="006E4B0E" w:rsidRDefault="00E35480" w:rsidP="000E6680">
      <w:pPr>
        <w:pStyle w:val="ListParagraph"/>
        <w:numPr>
          <w:ilvl w:val="0"/>
          <w:numId w:val="6"/>
        </w:numPr>
        <w:rPr>
          <w:b/>
          <w:bCs/>
        </w:rPr>
      </w:pPr>
      <w:r w:rsidRPr="00D67500">
        <w:rPr>
          <w:b/>
          <w:bCs/>
        </w:rPr>
        <w:t>Presentation Summary:</w:t>
      </w:r>
      <w:r w:rsidR="00D67500">
        <w:t xml:space="preserve"> </w:t>
      </w:r>
      <w:r w:rsidR="00D75295">
        <w:t>T</w:t>
      </w:r>
      <w:r w:rsidR="00D75295" w:rsidRPr="00D75295">
        <w:t>he Tennessee Department of Health has new online tools for public health and medical professionals. The Health Data Website at </w:t>
      </w:r>
      <w:hyperlink r:id="rId5" w:tooltip="https://healthdata.tn.gov" w:history="1">
        <w:r w:rsidR="00D75295" w:rsidRPr="00D75295">
          <w:rPr>
            <w:rStyle w:val="Hyperlink"/>
          </w:rPr>
          <w:t>https://healthdata.tn.gov</w:t>
        </w:r>
      </w:hyperlink>
      <w:r w:rsidR="00D75295" w:rsidRPr="00D75295">
        <w:t> is a one-stop for health, environmental, and demographic data. The Health Data Website includes open data and data visualizations ready for you to use. The TN Health Network at </w:t>
      </w:r>
      <w:hyperlink r:id="rId6" w:tooltip="https://tn.gov/health/network" w:history="1">
        <w:r w:rsidR="00D75295" w:rsidRPr="00D75295">
          <w:rPr>
            <w:rStyle w:val="Hyperlink"/>
          </w:rPr>
          <w:t>https://tn.gov/health/network</w:t>
        </w:r>
      </w:hyperlink>
      <w:r w:rsidR="00D75295" w:rsidRPr="00D75295">
        <w:t xml:space="preserve"> is a new online platform for professional social networking. The TN Health Network lets you communicate within groups of people with similar interests to share information and resources. The Healthy Homes website is one of the most frequently visited TDH sites.  The Healthy Homes webpages offer information about keeping a healthy indoor and outdoor home environment, maps for local healthy housing resources, and renter’s rights.  This presentation will walk you through these tools and demonstrate how they can help </w:t>
      </w:r>
      <w:proofErr w:type="gramStart"/>
      <w:r w:rsidR="00D75295" w:rsidRPr="00D75295">
        <w:t>you in achieving</w:t>
      </w:r>
      <w:proofErr w:type="gramEnd"/>
      <w:r w:rsidR="00D75295" w:rsidRPr="00D75295">
        <w:t xml:space="preserve"> your goals. </w:t>
      </w:r>
    </w:p>
    <w:p w14:paraId="425DC632" w14:textId="77777777" w:rsidR="006E4B0E" w:rsidRPr="000E6680" w:rsidRDefault="006E4B0E" w:rsidP="006E4B0E">
      <w:pPr>
        <w:pStyle w:val="ListParagraph"/>
        <w:rPr>
          <w:b/>
          <w:bCs/>
        </w:rPr>
      </w:pPr>
    </w:p>
    <w:p w14:paraId="019F23BD" w14:textId="1511B7E6" w:rsidR="000E6680" w:rsidRPr="00114CEF" w:rsidRDefault="000E6680" w:rsidP="00114CEF">
      <w:pPr>
        <w:pStyle w:val="ListParagraph"/>
        <w:numPr>
          <w:ilvl w:val="0"/>
          <w:numId w:val="6"/>
        </w:numPr>
        <w:rPr>
          <w:b/>
          <w:bCs/>
        </w:rPr>
      </w:pPr>
      <w:r w:rsidRPr="00D67500">
        <w:rPr>
          <w:b/>
          <w:bCs/>
        </w:rPr>
        <w:t>Learning Objectives:</w:t>
      </w:r>
      <w:r w:rsidR="00114CEF">
        <w:rPr>
          <w:b/>
          <w:bCs/>
        </w:rPr>
        <w:t xml:space="preserve"> </w:t>
      </w:r>
      <w:r w:rsidR="00114CEF" w:rsidRPr="00114CEF">
        <w:rPr>
          <w:b/>
          <w:bCs/>
        </w:rPr>
        <w:t>Turning Data into Action: Tools for Tennessee Public Health Professionals</w:t>
      </w:r>
    </w:p>
    <w:p w14:paraId="50446FE3" w14:textId="1DCC9970" w:rsidR="006E4B0E" w:rsidRPr="006E4B0E" w:rsidRDefault="006E4B0E" w:rsidP="006E4B0E">
      <w:pPr>
        <w:pStyle w:val="ListParagraph"/>
        <w:numPr>
          <w:ilvl w:val="1"/>
          <w:numId w:val="6"/>
        </w:numPr>
      </w:pPr>
      <w:r w:rsidRPr="006E4B0E">
        <w:t xml:space="preserve">Learn how to find reliable </w:t>
      </w:r>
      <w:proofErr w:type="gramStart"/>
      <w:r w:rsidRPr="006E4B0E">
        <w:t>health outcome</w:t>
      </w:r>
      <w:proofErr w:type="gramEnd"/>
      <w:r w:rsidRPr="006E4B0E">
        <w:t xml:space="preserve"> data ready for your use. (healthdata.tn.gov)</w:t>
      </w:r>
    </w:p>
    <w:p w14:paraId="50011D98" w14:textId="0D7A21AA" w:rsidR="006E4B0E" w:rsidRPr="006E4B0E" w:rsidRDefault="006E4B0E" w:rsidP="006E4B0E">
      <w:pPr>
        <w:pStyle w:val="ListParagraph"/>
        <w:numPr>
          <w:ilvl w:val="1"/>
          <w:numId w:val="6"/>
        </w:numPr>
      </w:pPr>
      <w:r w:rsidRPr="006E4B0E">
        <w:t>Learn how to connect with other professionals using a free website. (tn.gov/health/network)</w:t>
      </w:r>
    </w:p>
    <w:p w14:paraId="62239EA1" w14:textId="55D9275C" w:rsidR="006E4B0E" w:rsidRPr="006E4B0E" w:rsidRDefault="006E4B0E" w:rsidP="006E4B0E">
      <w:pPr>
        <w:pStyle w:val="ListParagraph"/>
        <w:numPr>
          <w:ilvl w:val="1"/>
          <w:numId w:val="6"/>
        </w:numPr>
      </w:pPr>
      <w:r w:rsidRPr="006E4B0E">
        <w:t>Learn where to send customers asking about substandard housing. (tn.gov/</w:t>
      </w:r>
      <w:proofErr w:type="spellStart"/>
      <w:r w:rsidRPr="006E4B0E">
        <w:t>healthyhomes</w:t>
      </w:r>
      <w:proofErr w:type="spellEnd"/>
      <w:r w:rsidRPr="006E4B0E">
        <w:t>)</w:t>
      </w:r>
    </w:p>
    <w:p w14:paraId="7E273338" w14:textId="77777777" w:rsidR="00E35480" w:rsidRDefault="00E35480" w:rsidP="00E35480">
      <w:pPr>
        <w:rPr>
          <w:b/>
          <w:bCs/>
        </w:rPr>
      </w:pPr>
    </w:p>
    <w:p w14:paraId="5D0EC5E0" w14:textId="164AE422" w:rsidR="00E35480" w:rsidRDefault="00E35480" w:rsidP="00E35480">
      <w:pPr>
        <w:rPr>
          <w:b/>
          <w:bCs/>
        </w:rPr>
      </w:pPr>
      <w:proofErr w:type="spellStart"/>
      <w:r w:rsidRPr="00E35480">
        <w:rPr>
          <w:b/>
          <w:bCs/>
        </w:rPr>
        <w:t>Cosmelita</w:t>
      </w:r>
      <w:proofErr w:type="spellEnd"/>
      <w:r w:rsidRPr="00E35480">
        <w:rPr>
          <w:b/>
          <w:bCs/>
        </w:rPr>
        <w:t xml:space="preserve"> Sain</w:t>
      </w:r>
      <w:r>
        <w:rPr>
          <w:b/>
          <w:bCs/>
        </w:rPr>
        <w:t xml:space="preserve">– </w:t>
      </w:r>
      <w:r w:rsidR="00C25C30" w:rsidRPr="00C25C30">
        <w:rPr>
          <w:b/>
          <w:bCs/>
        </w:rPr>
        <w:t>Pathways, Connections, and Impact (</w:t>
      </w:r>
      <w:proofErr w:type="gramStart"/>
      <w:r w:rsidR="00C25C30" w:rsidRPr="00C25C30">
        <w:rPr>
          <w:b/>
          <w:bCs/>
        </w:rPr>
        <w:t>PCI)  Program</w:t>
      </w:r>
      <w:proofErr w:type="gramEnd"/>
      <w:r w:rsidR="00C25C30" w:rsidRPr="00C25C30">
        <w:rPr>
          <w:b/>
          <w:bCs/>
        </w:rPr>
        <w:t xml:space="preserve"> Manager</w:t>
      </w:r>
    </w:p>
    <w:p w14:paraId="1ACA13E5" w14:textId="77777777" w:rsidR="00E35480" w:rsidRPr="00E35480" w:rsidRDefault="00E35480" w:rsidP="00E35480">
      <w:pPr>
        <w:pStyle w:val="ListParagraph"/>
        <w:numPr>
          <w:ilvl w:val="0"/>
          <w:numId w:val="6"/>
        </w:numPr>
        <w:rPr>
          <w:b/>
          <w:bCs/>
        </w:rPr>
      </w:pPr>
      <w:r>
        <w:t>Bio:</w:t>
      </w:r>
    </w:p>
    <w:p w14:paraId="5569F2C9" w14:textId="77777777" w:rsidR="00E35480" w:rsidRPr="000E6680" w:rsidRDefault="00E35480" w:rsidP="00E35480">
      <w:pPr>
        <w:pStyle w:val="ListParagraph"/>
        <w:numPr>
          <w:ilvl w:val="0"/>
          <w:numId w:val="6"/>
        </w:numPr>
        <w:rPr>
          <w:b/>
          <w:bCs/>
        </w:rPr>
      </w:pPr>
      <w:r>
        <w:t>Presentation Summary:</w:t>
      </w:r>
    </w:p>
    <w:p w14:paraId="5C93E481" w14:textId="77777777" w:rsidR="00E35480" w:rsidRPr="00C25C30" w:rsidRDefault="00E35480" w:rsidP="00E35480">
      <w:pPr>
        <w:pStyle w:val="ListParagraph"/>
        <w:numPr>
          <w:ilvl w:val="0"/>
          <w:numId w:val="6"/>
        </w:numPr>
        <w:rPr>
          <w:b/>
          <w:bCs/>
        </w:rPr>
      </w:pPr>
      <w:r>
        <w:t>Learning Objectives:</w:t>
      </w:r>
    </w:p>
    <w:p w14:paraId="723132F7" w14:textId="77777777" w:rsidR="00C25C30" w:rsidRDefault="00C25C30" w:rsidP="00C25C30">
      <w:pPr>
        <w:rPr>
          <w:b/>
          <w:bCs/>
        </w:rPr>
      </w:pPr>
    </w:p>
    <w:p w14:paraId="2B36355C" w14:textId="2CA615C5" w:rsidR="006359FF" w:rsidRPr="006359FF" w:rsidRDefault="006359FF" w:rsidP="006359FF">
      <w:pPr>
        <w:rPr>
          <w:b/>
          <w:bCs/>
        </w:rPr>
      </w:pPr>
      <w:r w:rsidRPr="006359FF">
        <w:rPr>
          <w:b/>
          <w:bCs/>
        </w:rPr>
        <w:t>Shannon Ferrell</w:t>
      </w:r>
      <w:r>
        <w:rPr>
          <w:b/>
          <w:bCs/>
        </w:rPr>
        <w:t xml:space="preserve">, Evy Boyer, Lynn Cole Sanders - </w:t>
      </w:r>
      <w:r w:rsidRPr="006359FF">
        <w:rPr>
          <w:b/>
          <w:bCs/>
        </w:rPr>
        <w:t>LTSS Housing Outreach Specialist</w:t>
      </w:r>
    </w:p>
    <w:p w14:paraId="7FB10FF5" w14:textId="77777777" w:rsidR="00310FB6" w:rsidRPr="00310FB6" w:rsidRDefault="00C25C30" w:rsidP="00310FB6">
      <w:pPr>
        <w:pStyle w:val="ListParagraph"/>
        <w:numPr>
          <w:ilvl w:val="0"/>
          <w:numId w:val="7"/>
        </w:numPr>
      </w:pPr>
      <w:r w:rsidRPr="00310FB6">
        <w:rPr>
          <w:b/>
          <w:bCs/>
        </w:rPr>
        <w:t>Bio</w:t>
      </w:r>
      <w:r>
        <w:t>:</w:t>
      </w:r>
      <w:r w:rsidR="00310FB6">
        <w:t xml:space="preserve"> </w:t>
      </w:r>
      <w:r w:rsidR="00310FB6" w:rsidRPr="00310FB6">
        <w:rPr>
          <w:i/>
          <w:iCs/>
        </w:rPr>
        <w:t>Shannon Ferrell</w:t>
      </w:r>
      <w:r w:rsidR="00310FB6" w:rsidRPr="00310FB6">
        <w:t xml:space="preserve"> is an LTSS Housing Outreach Specialist with Wellpoint of Tennessee, supporting members enrolled in TennCare CHOICES and ECF CHOICES through housing navigation, care coordination, and cross</w:t>
      </w:r>
      <w:r w:rsidR="00310FB6" w:rsidRPr="00310FB6">
        <w:noBreakHyphen/>
        <w:t xml:space="preserve">system collaboration. She </w:t>
      </w:r>
      <w:proofErr w:type="gramStart"/>
      <w:r w:rsidR="00310FB6" w:rsidRPr="00310FB6">
        <w:t>brings</w:t>
      </w:r>
      <w:proofErr w:type="gramEnd"/>
      <w:r w:rsidR="00310FB6" w:rsidRPr="00310FB6">
        <w:t xml:space="preserve"> over ten years of experience with HUD housing programs, including work with the State of Tennessee Housing Development Agency and the HUD Section 8 Housing Choice Voucher Program, mentoring participants toward self</w:t>
      </w:r>
      <w:r w:rsidR="00310FB6" w:rsidRPr="00310FB6">
        <w:noBreakHyphen/>
        <w:t>sufficiency and homeownership.</w:t>
      </w:r>
    </w:p>
    <w:p w14:paraId="46BE1D3E" w14:textId="77777777" w:rsidR="00310FB6" w:rsidRDefault="00310FB6" w:rsidP="00AC2844">
      <w:pPr>
        <w:pStyle w:val="ListParagraph"/>
      </w:pPr>
      <w:r w:rsidRPr="00310FB6">
        <w:t>A former Public Housing Resident Services Director, healthcare professional, and AmeriCorps volunteer, Shannon’s work bridges healthcare, housing, and homelessness response systems. She collaborates closely with Tennessee’s Homeless Continuums of Care to identify system gaps and advance innovative solutions, including the development of a Digital Resource Access HUB to improve access to housing, benefits, and care coordination. Shannon also serves as Chair of the Board for Homeless Advocacy for Rural Tennessee, with her work informed by lived experience with homelessness and complex system navigation.</w:t>
      </w:r>
    </w:p>
    <w:p w14:paraId="2605F870" w14:textId="77777777" w:rsidR="00136018" w:rsidRPr="00310FB6" w:rsidRDefault="00136018" w:rsidP="00AC2844">
      <w:pPr>
        <w:pStyle w:val="ListParagraph"/>
      </w:pPr>
    </w:p>
    <w:p w14:paraId="4E4603B0" w14:textId="77777777" w:rsidR="00AC2844" w:rsidRPr="00AC2844" w:rsidRDefault="00AC2844" w:rsidP="00AC2844">
      <w:pPr>
        <w:pStyle w:val="ListParagraph"/>
        <w:ind w:firstLine="720"/>
      </w:pPr>
      <w:r w:rsidRPr="00AC2844">
        <w:rPr>
          <w:i/>
          <w:iCs/>
        </w:rPr>
        <w:t>Evy Boyer,</w:t>
      </w:r>
      <w:r w:rsidRPr="00AC2844">
        <w:t xml:space="preserve"> LMSW, is a seasoned social work professional with extensive experience in long</w:t>
      </w:r>
      <w:r w:rsidRPr="00AC2844">
        <w:rPr>
          <w:rFonts w:ascii="Cambria Math" w:hAnsi="Cambria Math" w:cs="Cambria Math"/>
        </w:rPr>
        <w:t>‑</w:t>
      </w:r>
      <w:r w:rsidRPr="00AC2844">
        <w:t>term services and supports (LTSS), housing advocacy, complex transitions, and care coordination. She currently serves as the Manager of LTSS Housing Services and Supports at BlueCare Tennessee, where she oversees a team of Transition Care Coordinators.</w:t>
      </w:r>
    </w:p>
    <w:p w14:paraId="33E9FCA4" w14:textId="6F084D41" w:rsidR="00C25C30" w:rsidRDefault="00AC2844" w:rsidP="00AC2844">
      <w:pPr>
        <w:pStyle w:val="ListParagraph"/>
      </w:pPr>
      <w:r w:rsidRPr="00AC2844">
        <w:t xml:space="preserve">In this role, Evy focuses on ensuring individuals with disabilities and complex behavioral health needs are connected to appropriate housing pathways and support services that promote stability, independence, </w:t>
      </w:r>
      <w:r w:rsidRPr="00AC2844">
        <w:lastRenderedPageBreak/>
        <w:t>and successful community living. Her work emphasizes proactive planning, system collaboration, and person</w:t>
      </w:r>
      <w:r w:rsidRPr="00AC2844">
        <w:rPr>
          <w:rFonts w:ascii="Cambria Math" w:hAnsi="Cambria Math" w:cs="Cambria Math"/>
        </w:rPr>
        <w:t>‑</w:t>
      </w:r>
      <w:r w:rsidRPr="00AC2844">
        <w:t>centered housing solutions.</w:t>
      </w:r>
    </w:p>
    <w:p w14:paraId="27EBE8BC" w14:textId="77777777" w:rsidR="00136018" w:rsidRDefault="00136018" w:rsidP="00AC2844">
      <w:pPr>
        <w:pStyle w:val="ListParagraph"/>
      </w:pPr>
    </w:p>
    <w:p w14:paraId="691D3B11" w14:textId="77777777" w:rsidR="00136018" w:rsidRPr="00136018" w:rsidRDefault="00136018" w:rsidP="00136018">
      <w:pPr>
        <w:pStyle w:val="ListParagraph"/>
        <w:ind w:firstLine="720"/>
      </w:pPr>
      <w:r w:rsidRPr="00136018">
        <w:t>Lynn Cole Sanders, MHA, is an accomplished healthcare leader with more than thirty years of experience in the managed healthcare industry and extensive expertise supporting individuals with complex care needs. She currently serves as the Statewide Housing Strategy Manager for the LTSS population at UnitedHealthcare, directing program development, regulatory compliance, and cross</w:t>
      </w:r>
      <w:r w:rsidRPr="00136018">
        <w:noBreakHyphen/>
        <w:t>functional collaboration to enhance member outcomes and operational efficiency.</w:t>
      </w:r>
    </w:p>
    <w:p w14:paraId="216FE9EC" w14:textId="77777777" w:rsidR="00136018" w:rsidRPr="00136018" w:rsidRDefault="00136018" w:rsidP="00136018">
      <w:pPr>
        <w:pStyle w:val="ListParagraph"/>
      </w:pPr>
      <w:r w:rsidRPr="00136018">
        <w:t>Lynn holds a Master of Science in Healthcare Administration and has worked with UnitedHealthcare for 19 years. Her background includes medical claims adjudication, Medicare and Medicaid policy expertise, statewide project oversight, multi</w:t>
      </w:r>
      <w:r w:rsidRPr="00136018">
        <w:noBreakHyphen/>
        <w:t>state staff leadership, and the implementation of large</w:t>
      </w:r>
      <w:r w:rsidRPr="00136018">
        <w:noBreakHyphen/>
        <w:t>scale advocacy initiatives. Known for her professionalism, integrity, and collaborative leadership style, Lynn builds strong relationships with senior leadership, providers, community partners, and stakeholders. Her commitment to service is further reflected in her role as Healthcare Committee Chair for the Mayor’s Advisory Council on Americans with Disabilities.</w:t>
      </w:r>
    </w:p>
    <w:p w14:paraId="3E792BCA" w14:textId="77777777" w:rsidR="00AC2844" w:rsidRPr="00AC2844" w:rsidRDefault="00AC2844" w:rsidP="00AC2844">
      <w:pPr>
        <w:pStyle w:val="ListParagraph"/>
      </w:pPr>
    </w:p>
    <w:p w14:paraId="6B86093E" w14:textId="77777777" w:rsidR="00136018" w:rsidRDefault="00C25C30" w:rsidP="00136018">
      <w:pPr>
        <w:pStyle w:val="ListParagraph"/>
        <w:numPr>
          <w:ilvl w:val="0"/>
          <w:numId w:val="7"/>
        </w:numPr>
      </w:pPr>
      <w:r w:rsidRPr="009D6D90">
        <w:rPr>
          <w:b/>
          <w:bCs/>
        </w:rPr>
        <w:t>Presentation Summary:</w:t>
      </w:r>
      <w:r w:rsidR="009D6D90">
        <w:t xml:space="preserve"> </w:t>
      </w:r>
      <w:r w:rsidR="00136018" w:rsidRPr="00136018">
        <w:t xml:space="preserve">This session provides an overview of Tennessee’s </w:t>
      </w:r>
      <w:proofErr w:type="gramStart"/>
      <w:r w:rsidR="00136018" w:rsidRPr="00136018">
        <w:t>Long Term</w:t>
      </w:r>
      <w:proofErr w:type="gramEnd"/>
      <w:r w:rsidR="00136018" w:rsidRPr="00136018">
        <w:t xml:space="preserve"> Services and Supports (LTSS) and the role of the three Managed Care Organizations (MCOs) in strengthening housing stability as a core social determinant of health. We will outline the MCOs’ contractual housing responsibilities and examine how proactive, upstream housing planning reduces preventable crises, improves transitions, and supports long-term wellbeing. The presentation also highlights system-level strategies that can expand access to sustainable, affordable, accessible housing. Additionally, we will demonstrate how strong partnerships help reduce fragmentation at key transition points, align navigation supports, and ensure TennCare members are connected to appropriate housing pathways as early as possible.</w:t>
      </w:r>
    </w:p>
    <w:p w14:paraId="6775F61B" w14:textId="77777777" w:rsidR="008361A5" w:rsidRPr="00136018" w:rsidRDefault="008361A5" w:rsidP="008361A5">
      <w:pPr>
        <w:pStyle w:val="ListParagraph"/>
      </w:pPr>
    </w:p>
    <w:p w14:paraId="68086B6A" w14:textId="101D7C19" w:rsidR="00C25C30" w:rsidRDefault="00C25C30" w:rsidP="00136018">
      <w:pPr>
        <w:pStyle w:val="ListParagraph"/>
        <w:numPr>
          <w:ilvl w:val="0"/>
          <w:numId w:val="7"/>
        </w:numPr>
        <w:rPr>
          <w:b/>
          <w:bCs/>
        </w:rPr>
      </w:pPr>
      <w:r w:rsidRPr="00136018">
        <w:rPr>
          <w:b/>
          <w:bCs/>
        </w:rPr>
        <w:t>Learning Objectives:</w:t>
      </w:r>
    </w:p>
    <w:p w14:paraId="636A818C" w14:textId="77777777" w:rsidR="008361A5" w:rsidRPr="008361A5" w:rsidRDefault="008361A5" w:rsidP="008361A5">
      <w:pPr>
        <w:pStyle w:val="ListParagraph"/>
        <w:numPr>
          <w:ilvl w:val="1"/>
          <w:numId w:val="7"/>
        </w:numPr>
      </w:pPr>
      <w:r w:rsidRPr="008361A5">
        <w:t xml:space="preserve">Provide a high-level overview of LTSS and MCO responsibilities related to housing </w:t>
      </w:r>
      <w:proofErr w:type="gramStart"/>
      <w:r w:rsidRPr="008361A5">
        <w:t>supports</w:t>
      </w:r>
      <w:proofErr w:type="gramEnd"/>
      <w:r w:rsidRPr="008361A5">
        <w:t xml:space="preserve"> and navigation</w:t>
      </w:r>
    </w:p>
    <w:p w14:paraId="59703406" w14:textId="77777777" w:rsidR="008361A5" w:rsidRPr="008361A5" w:rsidRDefault="008361A5" w:rsidP="008361A5">
      <w:pPr>
        <w:pStyle w:val="ListParagraph"/>
        <w:numPr>
          <w:ilvl w:val="1"/>
          <w:numId w:val="7"/>
        </w:numPr>
      </w:pPr>
      <w:r w:rsidRPr="008361A5">
        <w:t>Demonstrate how proactive, early housing planning reduces crises and strengthens continuity of care</w:t>
      </w:r>
    </w:p>
    <w:p w14:paraId="5F6899A3" w14:textId="46161D56" w:rsidR="008361A5" w:rsidRPr="008361A5" w:rsidRDefault="008361A5" w:rsidP="008361A5">
      <w:pPr>
        <w:pStyle w:val="ListParagraph"/>
        <w:numPr>
          <w:ilvl w:val="1"/>
          <w:numId w:val="7"/>
        </w:numPr>
      </w:pPr>
      <w:r w:rsidRPr="008361A5">
        <w:t>Emphasize housing stability as an essential component of population health and long-term outcomes</w:t>
      </w:r>
    </w:p>
    <w:p w14:paraId="70FAB56B" w14:textId="77777777" w:rsidR="00E35480" w:rsidRPr="00E35480" w:rsidRDefault="00E35480" w:rsidP="00E35480">
      <w:pPr>
        <w:rPr>
          <w:b/>
          <w:bCs/>
        </w:rPr>
      </w:pPr>
    </w:p>
    <w:sectPr w:rsidR="00E35480" w:rsidRPr="00E35480" w:rsidSect="00863B9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D3E9C"/>
    <w:multiLevelType w:val="hybridMultilevel"/>
    <w:tmpl w:val="2CE84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D564F"/>
    <w:multiLevelType w:val="hybridMultilevel"/>
    <w:tmpl w:val="14321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11BA3"/>
    <w:multiLevelType w:val="hybridMultilevel"/>
    <w:tmpl w:val="C20A9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336E80"/>
    <w:multiLevelType w:val="hybridMultilevel"/>
    <w:tmpl w:val="C44E8E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6546E5D"/>
    <w:multiLevelType w:val="hybridMultilevel"/>
    <w:tmpl w:val="2B3E7248"/>
    <w:lvl w:ilvl="0" w:tplc="072A25D2">
      <w:numFmt w:val="bullet"/>
      <w:lvlText w:val="-"/>
      <w:lvlJc w:val="left"/>
      <w:pPr>
        <w:ind w:left="720" w:hanging="360"/>
      </w:pPr>
      <w:rPr>
        <w:rFonts w:ascii="Aptos" w:eastAsiaTheme="minorHAnsi" w:hAnsi="Apto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E057A0"/>
    <w:multiLevelType w:val="multilevel"/>
    <w:tmpl w:val="BA747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436698"/>
    <w:multiLevelType w:val="hybridMultilevel"/>
    <w:tmpl w:val="6052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2051093">
    <w:abstractNumId w:val="4"/>
  </w:num>
  <w:num w:numId="2" w16cid:durableId="1886215957">
    <w:abstractNumId w:val="6"/>
  </w:num>
  <w:num w:numId="3" w16cid:durableId="1488279809">
    <w:abstractNumId w:val="5"/>
  </w:num>
  <w:num w:numId="4" w16cid:durableId="554970409">
    <w:abstractNumId w:val="3"/>
  </w:num>
  <w:num w:numId="5" w16cid:durableId="629672373">
    <w:abstractNumId w:val="1"/>
  </w:num>
  <w:num w:numId="6" w16cid:durableId="1786731796">
    <w:abstractNumId w:val="2"/>
  </w:num>
  <w:num w:numId="7" w16cid:durableId="837119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24"/>
    <w:rsid w:val="000172EC"/>
    <w:rsid w:val="00040FBE"/>
    <w:rsid w:val="00064124"/>
    <w:rsid w:val="00081823"/>
    <w:rsid w:val="00092769"/>
    <w:rsid w:val="000E6680"/>
    <w:rsid w:val="00114CEF"/>
    <w:rsid w:val="00120601"/>
    <w:rsid w:val="00126512"/>
    <w:rsid w:val="00136018"/>
    <w:rsid w:val="00152426"/>
    <w:rsid w:val="00157441"/>
    <w:rsid w:val="00167D2D"/>
    <w:rsid w:val="00194C4E"/>
    <w:rsid w:val="001A4161"/>
    <w:rsid w:val="0023404A"/>
    <w:rsid w:val="002A3E1F"/>
    <w:rsid w:val="002A70D7"/>
    <w:rsid w:val="002E5A63"/>
    <w:rsid w:val="00310FB6"/>
    <w:rsid w:val="00327A1E"/>
    <w:rsid w:val="003C170A"/>
    <w:rsid w:val="003D7CD8"/>
    <w:rsid w:val="004117AA"/>
    <w:rsid w:val="00452A8E"/>
    <w:rsid w:val="00453CC8"/>
    <w:rsid w:val="00476DB4"/>
    <w:rsid w:val="004A74E6"/>
    <w:rsid w:val="004B7F82"/>
    <w:rsid w:val="004E7F4B"/>
    <w:rsid w:val="004F75F2"/>
    <w:rsid w:val="00500EB7"/>
    <w:rsid w:val="00515DC1"/>
    <w:rsid w:val="00556EC9"/>
    <w:rsid w:val="005B18F6"/>
    <w:rsid w:val="006162EF"/>
    <w:rsid w:val="006359FF"/>
    <w:rsid w:val="00650ABA"/>
    <w:rsid w:val="006520BD"/>
    <w:rsid w:val="006C5A92"/>
    <w:rsid w:val="006E4B0E"/>
    <w:rsid w:val="006F3471"/>
    <w:rsid w:val="00712380"/>
    <w:rsid w:val="007662B0"/>
    <w:rsid w:val="007837E7"/>
    <w:rsid w:val="0080394F"/>
    <w:rsid w:val="00811E4F"/>
    <w:rsid w:val="008361A5"/>
    <w:rsid w:val="00863B9B"/>
    <w:rsid w:val="00897EBC"/>
    <w:rsid w:val="008C7627"/>
    <w:rsid w:val="008D7E03"/>
    <w:rsid w:val="00917039"/>
    <w:rsid w:val="00936765"/>
    <w:rsid w:val="00957643"/>
    <w:rsid w:val="00963C25"/>
    <w:rsid w:val="0097009D"/>
    <w:rsid w:val="009D6D90"/>
    <w:rsid w:val="009E7D1D"/>
    <w:rsid w:val="00A400E3"/>
    <w:rsid w:val="00A63C86"/>
    <w:rsid w:val="00A86CD5"/>
    <w:rsid w:val="00AB2EAA"/>
    <w:rsid w:val="00AC2844"/>
    <w:rsid w:val="00B06C4B"/>
    <w:rsid w:val="00BB12E2"/>
    <w:rsid w:val="00C11352"/>
    <w:rsid w:val="00C25C30"/>
    <w:rsid w:val="00C6576C"/>
    <w:rsid w:val="00CB6DBE"/>
    <w:rsid w:val="00D01FFA"/>
    <w:rsid w:val="00D400B4"/>
    <w:rsid w:val="00D67500"/>
    <w:rsid w:val="00D75295"/>
    <w:rsid w:val="00DB3718"/>
    <w:rsid w:val="00E1163D"/>
    <w:rsid w:val="00E277F6"/>
    <w:rsid w:val="00E35480"/>
    <w:rsid w:val="00E43B4C"/>
    <w:rsid w:val="00E973DF"/>
    <w:rsid w:val="00EE1D49"/>
    <w:rsid w:val="00F1711E"/>
    <w:rsid w:val="00F33BE1"/>
    <w:rsid w:val="00F4090C"/>
    <w:rsid w:val="00F47344"/>
    <w:rsid w:val="00F75928"/>
    <w:rsid w:val="00F76EAC"/>
    <w:rsid w:val="00FB3622"/>
    <w:rsid w:val="00FC1E63"/>
    <w:rsid w:val="00FD2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10B41"/>
  <w15:chartTrackingRefBased/>
  <w15:docId w15:val="{D08D86D2-26E9-4425-8BE0-F0309E414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124"/>
    <w:pPr>
      <w:spacing w:line="259" w:lineRule="auto"/>
    </w:pPr>
    <w:rPr>
      <w:rFonts w:asciiTheme="minorHAnsi" w:hAnsiTheme="minorHAnsi"/>
      <w:kern w:val="0"/>
      <w:szCs w:val="22"/>
      <w14:ligatures w14:val="none"/>
    </w:rPr>
  </w:style>
  <w:style w:type="paragraph" w:styleId="Heading1">
    <w:name w:val="heading 1"/>
    <w:basedOn w:val="Normal"/>
    <w:next w:val="Normal"/>
    <w:link w:val="Heading1Char"/>
    <w:uiPriority w:val="9"/>
    <w:qFormat/>
    <w:rsid w:val="000641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41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41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41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41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41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1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1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1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1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41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412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412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6412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6412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6412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6412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6412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641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1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1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12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64124"/>
    <w:pPr>
      <w:spacing w:before="160"/>
      <w:jc w:val="center"/>
    </w:pPr>
    <w:rPr>
      <w:i/>
      <w:iCs/>
      <w:color w:val="404040" w:themeColor="text1" w:themeTint="BF"/>
    </w:rPr>
  </w:style>
  <w:style w:type="character" w:customStyle="1" w:styleId="QuoteChar">
    <w:name w:val="Quote Char"/>
    <w:basedOn w:val="DefaultParagraphFont"/>
    <w:link w:val="Quote"/>
    <w:uiPriority w:val="29"/>
    <w:rsid w:val="00064124"/>
    <w:rPr>
      <w:i/>
      <w:iCs/>
      <w:color w:val="404040" w:themeColor="text1" w:themeTint="BF"/>
    </w:rPr>
  </w:style>
  <w:style w:type="paragraph" w:styleId="ListParagraph">
    <w:name w:val="List Paragraph"/>
    <w:basedOn w:val="Normal"/>
    <w:uiPriority w:val="34"/>
    <w:qFormat/>
    <w:rsid w:val="00064124"/>
    <w:pPr>
      <w:ind w:left="720"/>
      <w:contextualSpacing/>
    </w:pPr>
  </w:style>
  <w:style w:type="character" w:styleId="IntenseEmphasis">
    <w:name w:val="Intense Emphasis"/>
    <w:basedOn w:val="DefaultParagraphFont"/>
    <w:uiPriority w:val="21"/>
    <w:qFormat/>
    <w:rsid w:val="00064124"/>
    <w:rPr>
      <w:i/>
      <w:iCs/>
      <w:color w:val="0F4761" w:themeColor="accent1" w:themeShade="BF"/>
    </w:rPr>
  </w:style>
  <w:style w:type="paragraph" w:styleId="IntenseQuote">
    <w:name w:val="Intense Quote"/>
    <w:basedOn w:val="Normal"/>
    <w:next w:val="Normal"/>
    <w:link w:val="IntenseQuoteChar"/>
    <w:uiPriority w:val="30"/>
    <w:qFormat/>
    <w:rsid w:val="00064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4124"/>
    <w:rPr>
      <w:i/>
      <w:iCs/>
      <w:color w:val="0F4761" w:themeColor="accent1" w:themeShade="BF"/>
    </w:rPr>
  </w:style>
  <w:style w:type="character" w:styleId="IntenseReference">
    <w:name w:val="Intense Reference"/>
    <w:basedOn w:val="DefaultParagraphFont"/>
    <w:uiPriority w:val="32"/>
    <w:qFormat/>
    <w:rsid w:val="00064124"/>
    <w:rPr>
      <w:b/>
      <w:bCs/>
      <w:smallCaps/>
      <w:color w:val="0F4761" w:themeColor="accent1" w:themeShade="BF"/>
      <w:spacing w:val="5"/>
    </w:rPr>
  </w:style>
  <w:style w:type="table" w:styleId="TableGrid">
    <w:name w:val="Table Grid"/>
    <w:basedOn w:val="TableNormal"/>
    <w:uiPriority w:val="39"/>
    <w:rsid w:val="00064124"/>
    <w:pPr>
      <w:spacing w:after="0" w:line="240" w:lineRule="auto"/>
    </w:pPr>
    <w:rPr>
      <w:rFonts w:asciiTheme="minorHAnsi" w:hAnsiTheme="minorHAnsi"/>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4124"/>
    <w:rPr>
      <w:sz w:val="16"/>
      <w:szCs w:val="16"/>
    </w:rPr>
  </w:style>
  <w:style w:type="paragraph" w:styleId="CommentText">
    <w:name w:val="annotation text"/>
    <w:basedOn w:val="Normal"/>
    <w:link w:val="CommentTextChar"/>
    <w:uiPriority w:val="99"/>
    <w:unhideWhenUsed/>
    <w:rsid w:val="00064124"/>
    <w:pPr>
      <w:spacing w:line="240" w:lineRule="auto"/>
    </w:pPr>
    <w:rPr>
      <w:sz w:val="20"/>
      <w:szCs w:val="20"/>
    </w:rPr>
  </w:style>
  <w:style w:type="character" w:customStyle="1" w:styleId="CommentTextChar">
    <w:name w:val="Comment Text Char"/>
    <w:basedOn w:val="DefaultParagraphFont"/>
    <w:link w:val="CommentText"/>
    <w:uiPriority w:val="99"/>
    <w:rsid w:val="00064124"/>
    <w:rPr>
      <w:rFonts w:asciiTheme="minorHAnsi" w:hAnsiTheme="minorHAnsi"/>
      <w:kern w:val="0"/>
      <w:sz w:val="20"/>
      <w:szCs w:val="20"/>
      <w14:ligatures w14:val="none"/>
    </w:rPr>
  </w:style>
  <w:style w:type="paragraph" w:styleId="NormalWeb">
    <w:name w:val="Normal (Web)"/>
    <w:basedOn w:val="Normal"/>
    <w:uiPriority w:val="99"/>
    <w:semiHidden/>
    <w:unhideWhenUsed/>
    <w:rsid w:val="0080394F"/>
    <w:rPr>
      <w:rFonts w:ascii="Times New Roman" w:hAnsi="Times New Roman" w:cs="Times New Roman"/>
      <w:sz w:val="24"/>
      <w:szCs w:val="24"/>
    </w:rPr>
  </w:style>
  <w:style w:type="character" w:styleId="Hyperlink">
    <w:name w:val="Hyperlink"/>
    <w:basedOn w:val="DefaultParagraphFont"/>
    <w:uiPriority w:val="99"/>
    <w:unhideWhenUsed/>
    <w:rsid w:val="00D67500"/>
    <w:rPr>
      <w:color w:val="467886" w:themeColor="hyperlink"/>
      <w:u w:val="single"/>
    </w:rPr>
  </w:style>
  <w:style w:type="character" w:styleId="UnresolvedMention">
    <w:name w:val="Unresolved Mention"/>
    <w:basedOn w:val="DefaultParagraphFont"/>
    <w:uiPriority w:val="99"/>
    <w:semiHidden/>
    <w:unhideWhenUsed/>
    <w:rsid w:val="00D67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n.gov/health/network" TargetMode="External"/><Relationship Id="rId5" Type="http://schemas.openxmlformats.org/officeDocument/2006/relationships/hyperlink" Target="https://healthdata.tn.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1369</TotalTime>
  <Pages>4</Pages>
  <Words>1467</Words>
  <Characters>8797</Characters>
  <Application>Microsoft Office Word</Application>
  <DocSecurity>0</DocSecurity>
  <Lines>215</Lines>
  <Paragraphs>81</Paragraphs>
  <ScaleCrop>false</ScaleCrop>
  <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Shatonia Kenion</dc:creator>
  <cp:keywords/>
  <dc:description/>
  <cp:lastModifiedBy>Kimberly Harrell</cp:lastModifiedBy>
  <cp:revision>81</cp:revision>
  <dcterms:created xsi:type="dcterms:W3CDTF">2026-02-23T15:58:00Z</dcterms:created>
  <dcterms:modified xsi:type="dcterms:W3CDTF">2026-03-20T13:12:00Z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4e0dbb91-b680-4efe-9b9b-f763a6a58879</vt:lpwstr>
  </property>
</Properties>
</file>